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362F1" w14:textId="25A21E03" w:rsidR="00B62A87" w:rsidRDefault="00007894">
      <w:pPr>
        <w:spacing w:line="276" w:lineRule="auto"/>
        <w:jc w:val="both"/>
        <w:rPr>
          <w:b/>
          <w:sz w:val="28"/>
          <w:szCs w:val="28"/>
        </w:rPr>
      </w:pPr>
      <w:bookmarkStart w:id="0" w:name="OLE_LINK3"/>
      <w:r w:rsidRPr="00007894">
        <w:rPr>
          <w:b/>
          <w:bCs/>
          <w:sz w:val="28"/>
          <w:szCs w:val="28"/>
          <w:lang w:val="id-ID"/>
        </w:rPr>
        <w:t>The Asymmetric Impact of Exchange Rates on Indonesia's CPO Export Value</w:t>
      </w:r>
    </w:p>
    <w:p w14:paraId="5E57BA26" w14:textId="77777777" w:rsidR="00B62A87" w:rsidRDefault="00B62A87">
      <w:pPr>
        <w:spacing w:line="276" w:lineRule="auto"/>
        <w:jc w:val="both"/>
      </w:pPr>
    </w:p>
    <w:p w14:paraId="668D34B8" w14:textId="3618E07F" w:rsidR="00B62A87" w:rsidRDefault="00007894">
      <w:pPr>
        <w:spacing w:line="276" w:lineRule="auto"/>
        <w:ind w:right="2982"/>
        <w:jc w:val="both"/>
        <w:rPr>
          <w:vertAlign w:val="superscript"/>
        </w:rPr>
      </w:pPr>
      <w:r>
        <w:rPr>
          <w:b/>
          <w:sz w:val="22"/>
          <w:szCs w:val="22"/>
        </w:rPr>
        <w:t>Sri Utami Lestari</w:t>
      </w:r>
      <w:r w:rsidRPr="00007894">
        <w:rPr>
          <w:b/>
          <w:sz w:val="22"/>
          <w:szCs w:val="22"/>
          <w:vertAlign w:val="superscript"/>
        </w:rPr>
        <w:t>1</w:t>
      </w:r>
      <w:r>
        <w:rPr>
          <w:b/>
          <w:sz w:val="22"/>
          <w:szCs w:val="22"/>
        </w:rPr>
        <w:t xml:space="preserve">, </w:t>
      </w:r>
      <w:r w:rsidRPr="00007894">
        <w:rPr>
          <w:b/>
          <w:sz w:val="22"/>
          <w:szCs w:val="22"/>
        </w:rPr>
        <w:t>Zulkifli Alamsyah</w:t>
      </w:r>
      <w:r>
        <w:rPr>
          <w:b/>
          <w:sz w:val="22"/>
          <w:szCs w:val="22"/>
          <w:vertAlign w:val="superscript"/>
        </w:rPr>
        <w:t>2</w:t>
      </w:r>
      <w:r w:rsidRPr="00007894">
        <w:rPr>
          <w:b/>
          <w:sz w:val="22"/>
          <w:szCs w:val="22"/>
        </w:rPr>
        <w:t>, Karina Rahmah</w:t>
      </w:r>
      <w:r>
        <w:rPr>
          <w:b/>
          <w:sz w:val="22"/>
          <w:szCs w:val="22"/>
          <w:vertAlign w:val="superscript"/>
        </w:rPr>
        <w:t>3</w:t>
      </w:r>
    </w:p>
    <w:p w14:paraId="522C6CC8" w14:textId="50FEFB59" w:rsidR="00B62A87" w:rsidRPr="00E95814" w:rsidRDefault="0064488E">
      <w:pPr>
        <w:spacing w:line="276" w:lineRule="auto"/>
        <w:ind w:right="2706"/>
        <w:jc w:val="both"/>
        <w:rPr>
          <w:vertAlign w:val="superscript"/>
        </w:rPr>
      </w:pPr>
      <w:r>
        <w:rPr>
          <w:vertAlign w:val="superscript"/>
        </w:rPr>
        <w:t>1</w:t>
      </w:r>
      <w:bookmarkStart w:id="1" w:name="_Hlk111734418"/>
      <w:r w:rsidR="00E95814">
        <w:rPr>
          <w:vertAlign w:val="superscript"/>
        </w:rPr>
        <w:t>,2,3</w:t>
      </w:r>
      <w:r w:rsidR="00806AF8" w:rsidRPr="00806AF8">
        <w:rPr>
          <w:rFonts w:eastAsiaTheme="minorHAnsi" w:cstheme="minorBidi"/>
          <w:kern w:val="2"/>
          <w:szCs w:val="18"/>
          <w:lang w:val="id-ID" w:eastAsia="en-US"/>
          <w14:ligatures w14:val="standardContextual"/>
        </w:rPr>
        <w:t xml:space="preserve"> </w:t>
      </w:r>
      <w:r w:rsidR="00806AF8" w:rsidRPr="00806AF8">
        <w:rPr>
          <w:lang w:val="id-ID"/>
        </w:rPr>
        <w:t>Departement of Agribusiness, Faculty of Agriculture, Universitas Jambi, Indonesia</w:t>
      </w:r>
      <w:bookmarkEnd w:id="1"/>
      <w:r w:rsidR="00806AF8" w:rsidRPr="00806AF8">
        <w:rPr>
          <w:vertAlign w:val="superscript"/>
        </w:rPr>
        <w:t xml:space="preserve"> </w:t>
      </w:r>
    </w:p>
    <w:p w14:paraId="38E73647" w14:textId="13A01546" w:rsidR="00B62A87" w:rsidRDefault="0064488E">
      <w:pPr>
        <w:pBdr>
          <w:top w:val="nil"/>
          <w:left w:val="nil"/>
          <w:bottom w:val="nil"/>
          <w:right w:val="nil"/>
          <w:between w:val="nil"/>
        </w:pBdr>
        <w:jc w:val="both"/>
        <w:rPr>
          <w:color w:val="000000"/>
        </w:rPr>
      </w:pPr>
      <w:r>
        <w:rPr>
          <w:color w:val="000000"/>
        </w:rPr>
        <w:t xml:space="preserve">First AUTHOR </w:t>
      </w:r>
      <w:r>
        <w:rPr>
          <w:color w:val="000000"/>
        </w:rPr>
        <w:tab/>
      </w:r>
      <w:r>
        <w:rPr>
          <w:color w:val="000000"/>
        </w:rPr>
        <w:tab/>
        <w:t xml:space="preserve">: </w:t>
      </w:r>
      <w:hyperlink r:id="rId8" w:history="1">
        <w:r w:rsidR="00806AF8" w:rsidRPr="00FB2536">
          <w:rPr>
            <w:rStyle w:val="Hyperlink"/>
          </w:rPr>
          <w:t>https://orcid.org/0009-0000-1707-3685</w:t>
        </w:r>
      </w:hyperlink>
      <w:r w:rsidR="00806AF8">
        <w:t xml:space="preserve"> </w:t>
      </w:r>
    </w:p>
    <w:p w14:paraId="191A030F" w14:textId="76775520" w:rsidR="00B62A87" w:rsidRDefault="0064488E">
      <w:pPr>
        <w:pBdr>
          <w:top w:val="nil"/>
          <w:left w:val="nil"/>
          <w:bottom w:val="nil"/>
          <w:right w:val="nil"/>
          <w:between w:val="nil"/>
        </w:pBdr>
        <w:jc w:val="both"/>
        <w:rPr>
          <w:color w:val="000000"/>
        </w:rPr>
      </w:pPr>
      <w:r>
        <w:rPr>
          <w:color w:val="000000"/>
        </w:rPr>
        <w:t>Second AUTHOR</w:t>
      </w:r>
      <w:r>
        <w:rPr>
          <w:color w:val="000000"/>
        </w:rPr>
        <w:tab/>
        <w:t xml:space="preserve">: </w:t>
      </w:r>
      <w:hyperlink r:id="rId9" w:history="1">
        <w:r w:rsidR="00D9127C" w:rsidRPr="009344F6">
          <w:rPr>
            <w:rStyle w:val="Hyperlink"/>
          </w:rPr>
          <w:t>https://orcid.org/0000-0003-3927-2524</w:t>
        </w:r>
      </w:hyperlink>
      <w:r w:rsidR="00D9127C">
        <w:rPr>
          <w:color w:val="000000"/>
        </w:rPr>
        <w:t xml:space="preserve"> </w:t>
      </w:r>
    </w:p>
    <w:p w14:paraId="15F411F2" w14:textId="3F1C6250" w:rsidR="00B62A87" w:rsidRDefault="0064488E">
      <w:pPr>
        <w:pBdr>
          <w:top w:val="nil"/>
          <w:left w:val="nil"/>
          <w:bottom w:val="nil"/>
          <w:right w:val="nil"/>
          <w:between w:val="nil"/>
        </w:pBdr>
        <w:jc w:val="both"/>
        <w:rPr>
          <w:color w:val="000000"/>
        </w:rPr>
      </w:pPr>
      <w:r>
        <w:rPr>
          <w:color w:val="000000"/>
        </w:rPr>
        <w:t>Third AUTHOR</w:t>
      </w:r>
      <w:r>
        <w:rPr>
          <w:color w:val="000000"/>
        </w:rPr>
        <w:tab/>
      </w:r>
      <w:r>
        <w:rPr>
          <w:color w:val="000000"/>
        </w:rPr>
        <w:tab/>
        <w:t xml:space="preserve">: </w:t>
      </w:r>
      <w:hyperlink r:id="rId10" w:history="1">
        <w:r w:rsidR="00D9127C" w:rsidRPr="009344F6">
          <w:rPr>
            <w:rStyle w:val="Hyperlink"/>
          </w:rPr>
          <w:t>https://orcid.org/0009-0007-4806-4117</w:t>
        </w:r>
      </w:hyperlink>
      <w:r w:rsidR="00D9127C">
        <w:rPr>
          <w:color w:val="000000"/>
        </w:rPr>
        <w:t xml:space="preserve"> </w:t>
      </w:r>
      <w:bookmarkStart w:id="2" w:name="_GoBack"/>
      <w:bookmarkEnd w:id="2"/>
    </w:p>
    <w:p w14:paraId="4F612CEE" w14:textId="274B9981" w:rsidR="00B62A87" w:rsidRDefault="0064488E">
      <w:pPr>
        <w:spacing w:line="276" w:lineRule="auto"/>
        <w:ind w:right="3785"/>
        <w:jc w:val="both"/>
        <w:sectPr w:rsidR="00B62A87" w:rsidSect="008001BB">
          <w:headerReference w:type="default" r:id="rId11"/>
          <w:footerReference w:type="default" r:id="rId12"/>
          <w:headerReference w:type="first" r:id="rId13"/>
          <w:footerReference w:type="first" r:id="rId14"/>
          <w:pgSz w:w="11920" w:h="16840"/>
          <w:pgMar w:top="284" w:right="720" w:bottom="720" w:left="720" w:header="397" w:footer="567" w:gutter="0"/>
          <w:pgNumType w:start="8"/>
          <w:cols w:space="720"/>
          <w:titlePg/>
        </w:sectPr>
      </w:pPr>
      <w:r>
        <w:t>*</w:t>
      </w:r>
      <w:r>
        <w:rPr>
          <w:color w:val="000000"/>
        </w:rPr>
        <w:t xml:space="preserve">Corresponding author </w:t>
      </w:r>
      <w:r>
        <w:rPr>
          <w:color w:val="000000"/>
        </w:rPr>
        <w:tab/>
        <w:t xml:space="preserve">: </w:t>
      </w:r>
      <w:hyperlink r:id="rId15" w:history="1">
        <w:r w:rsidR="008001BB" w:rsidRPr="00FB478E">
          <w:rPr>
            <w:rStyle w:val="Hyperlink"/>
          </w:rPr>
          <w:t>sriutamilestari@unja.ac.id</w:t>
        </w:r>
      </w:hyperlink>
      <w:r w:rsidR="008001BB">
        <w:t xml:space="preserve"> </w:t>
      </w:r>
    </w:p>
    <w:p w14:paraId="5E059341" w14:textId="77777777" w:rsidR="00B62A87" w:rsidRDefault="00B62A87">
      <w:pPr>
        <w:widowControl w:val="0"/>
        <w:pBdr>
          <w:top w:val="nil"/>
          <w:left w:val="nil"/>
          <w:bottom w:val="nil"/>
          <w:right w:val="nil"/>
          <w:between w:val="nil"/>
        </w:pBdr>
        <w:spacing w:line="276" w:lineRule="auto"/>
      </w:pPr>
    </w:p>
    <w:tbl>
      <w:tblPr>
        <w:tblStyle w:val="a0"/>
        <w:tblW w:w="10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0"/>
        <w:gridCol w:w="2480"/>
      </w:tblGrid>
      <w:tr w:rsidR="00B62A87" w14:paraId="6DE8C8AB" w14:textId="77777777">
        <w:trPr>
          <w:trHeight w:val="348"/>
          <w:jc w:val="center"/>
        </w:trPr>
        <w:tc>
          <w:tcPr>
            <w:tcW w:w="10400" w:type="dxa"/>
            <w:gridSpan w:val="2"/>
            <w:tcBorders>
              <w:left w:val="nil"/>
              <w:right w:val="nil"/>
            </w:tcBorders>
          </w:tcPr>
          <w:p w14:paraId="16EF1AEE" w14:textId="04229BC7" w:rsidR="00B62A87" w:rsidRDefault="0064488E">
            <w:pPr>
              <w:widowControl w:val="0"/>
              <w:tabs>
                <w:tab w:val="left" w:pos="567"/>
              </w:tabs>
              <w:spacing w:before="120" w:line="276" w:lineRule="auto"/>
              <w:jc w:val="both"/>
              <w:rPr>
                <w:rFonts w:ascii="Palatino" w:eastAsia="Palatino" w:hAnsi="Palatino" w:cs="Palatino"/>
              </w:rPr>
            </w:pPr>
            <w:r>
              <w:rPr>
                <w:rFonts w:ascii="Palatino" w:eastAsia="Palatino" w:hAnsi="Palatino" w:cs="Palatino"/>
                <w:b/>
              </w:rPr>
              <w:t>ABSTRACT</w:t>
            </w:r>
            <w:r>
              <w:rPr>
                <w:rFonts w:ascii="Palatino" w:eastAsia="Palatino" w:hAnsi="Palatino" w:cs="Palatino"/>
                <w:vertAlign w:val="superscript"/>
              </w:rPr>
              <w:t xml:space="preserve">             </w:t>
            </w:r>
          </w:p>
        </w:tc>
      </w:tr>
      <w:tr w:rsidR="00B62A87" w14:paraId="16634433" w14:textId="77777777">
        <w:trPr>
          <w:trHeight w:val="1110"/>
          <w:jc w:val="center"/>
        </w:trPr>
        <w:tc>
          <w:tcPr>
            <w:tcW w:w="7920" w:type="dxa"/>
            <w:tcBorders>
              <w:left w:val="nil"/>
              <w:right w:val="nil"/>
            </w:tcBorders>
          </w:tcPr>
          <w:p w14:paraId="66853A23" w14:textId="77EC2D08" w:rsidR="00806AF8" w:rsidRDefault="00806AF8">
            <w:pPr>
              <w:spacing w:line="276" w:lineRule="auto"/>
              <w:jc w:val="both"/>
            </w:pPr>
            <w:bookmarkStart w:id="3" w:name="_heading=h.gjdgxs" w:colFirst="0" w:colLast="0"/>
            <w:bookmarkEnd w:id="3"/>
            <w:r w:rsidRPr="0038690C">
              <w:t xml:space="preserve">This study examines the asymmetric effect of the rupiah exchange rate on Indonesia's Crude Palm Oil (CPO) exports during the period 2006 to 2023. </w:t>
            </w:r>
            <w:r w:rsidR="0038690C" w:rsidRPr="0038690C">
              <w:t>Utilizing the Nonlinear Autoregressive Distributed Lag (NARDL) approach</w:t>
            </w:r>
            <w:r w:rsidRPr="0038690C">
              <w:t xml:space="preserve">, this study captures the short-term and long-term asymmetric relationship between exchange rate fluctuations and export values. </w:t>
            </w:r>
            <w:r w:rsidR="003076F3" w:rsidRPr="0038690C">
              <w:t xml:space="preserve">Earlier research typically </w:t>
            </w:r>
            <w:r w:rsidRPr="0038690C">
              <w:t xml:space="preserve">use linear models on aggregate data, thus possibly ignoring sector-specific dynamics. This study, on the other hand, focuses on the unique characteristics of CPO exports, which reveal different responses to rupiah appreciation and depreciation. The results of the analysis indicate a significant asymmetric effect in the long run, where rupiah depreciation increases the competitiveness of CPO exports, while appreciation tends to decrease it. However, no significant asymmetric impact was found in the short run. </w:t>
            </w:r>
            <w:r w:rsidR="0038690C" w:rsidRPr="0038690C">
              <w:t>The NARDL analysis reveals that depreciation in the exchange rate exerts a more significant influence on export performance compared to appreciation.</w:t>
            </w:r>
            <w:r w:rsidRPr="0038690C">
              <w:t>, thus supporting the need for adaptive policies to maintain export stability in the CPO sector.</w:t>
            </w:r>
          </w:p>
          <w:p w14:paraId="3BF65F12" w14:textId="4247CE56" w:rsidR="00B62A87" w:rsidRDefault="0064488E">
            <w:pPr>
              <w:spacing w:line="276" w:lineRule="auto"/>
              <w:jc w:val="both"/>
            </w:pPr>
            <w:r>
              <w:rPr>
                <w:b/>
              </w:rPr>
              <w:t>Keywords:</w:t>
            </w:r>
            <w:r>
              <w:t xml:space="preserve"> </w:t>
            </w:r>
            <w:r w:rsidR="00806AF8" w:rsidRPr="00806AF8">
              <w:t>Exchange rate, CPO export, asymmetry, NARDL</w:t>
            </w:r>
          </w:p>
        </w:tc>
        <w:tc>
          <w:tcPr>
            <w:tcW w:w="2480" w:type="dxa"/>
            <w:tcBorders>
              <w:left w:val="nil"/>
              <w:right w:val="nil"/>
            </w:tcBorders>
          </w:tcPr>
          <w:p w14:paraId="75AA0988" w14:textId="77777777" w:rsidR="00B62A87" w:rsidRDefault="0064488E">
            <w:pPr>
              <w:pBdr>
                <w:top w:val="nil"/>
                <w:left w:val="nil"/>
                <w:bottom w:val="nil"/>
                <w:right w:val="nil"/>
                <w:between w:val="nil"/>
              </w:pBdr>
              <w:rPr>
                <w:color w:val="000000"/>
                <w:sz w:val="24"/>
                <w:szCs w:val="24"/>
              </w:rPr>
            </w:pPr>
            <w:r>
              <w:rPr>
                <w:color w:val="000000"/>
                <w:sz w:val="22"/>
                <w:szCs w:val="22"/>
              </w:rPr>
              <w:t>Article Info</w:t>
            </w:r>
          </w:p>
          <w:p w14:paraId="3635E0AE" w14:textId="6E2BDFC1" w:rsidR="00B62A87" w:rsidRDefault="0064488E">
            <w:pPr>
              <w:pBdr>
                <w:top w:val="nil"/>
                <w:left w:val="nil"/>
                <w:bottom w:val="nil"/>
                <w:right w:val="nil"/>
                <w:between w:val="nil"/>
              </w:pBdr>
              <w:rPr>
                <w:color w:val="000000"/>
              </w:rPr>
            </w:pPr>
            <w:r>
              <w:rPr>
                <w:color w:val="000000"/>
              </w:rPr>
              <w:t>Published:</w:t>
            </w:r>
            <w:r w:rsidR="008001BB">
              <w:rPr>
                <w:color w:val="000000"/>
              </w:rPr>
              <w:t xml:space="preserve"> 2025/01/31</w:t>
            </w:r>
          </w:p>
          <w:p w14:paraId="4BF9451B" w14:textId="77777777" w:rsidR="00B62A87" w:rsidRDefault="00B62A87">
            <w:pPr>
              <w:spacing w:line="276" w:lineRule="auto"/>
              <w:jc w:val="both"/>
              <w:rPr>
                <w:b/>
              </w:rPr>
            </w:pPr>
          </w:p>
          <w:p w14:paraId="34DD0B1B" w14:textId="77777777" w:rsidR="00B62A87" w:rsidRDefault="00B62A87">
            <w:pPr>
              <w:spacing w:line="276" w:lineRule="auto"/>
              <w:jc w:val="both"/>
              <w:rPr>
                <w:b/>
              </w:rPr>
            </w:pPr>
          </w:p>
          <w:p w14:paraId="1EFFCCAC" w14:textId="77777777" w:rsidR="00B62A87" w:rsidRDefault="00B62A87">
            <w:pPr>
              <w:spacing w:line="276" w:lineRule="auto"/>
              <w:jc w:val="both"/>
              <w:rPr>
                <w:b/>
              </w:rPr>
            </w:pPr>
          </w:p>
          <w:p w14:paraId="565BAF5C" w14:textId="77777777" w:rsidR="00B62A87" w:rsidRDefault="00B62A87">
            <w:pPr>
              <w:spacing w:line="276" w:lineRule="auto"/>
              <w:rPr>
                <w:b/>
              </w:rPr>
            </w:pPr>
          </w:p>
        </w:tc>
      </w:tr>
    </w:tbl>
    <w:p w14:paraId="793C21F4" w14:textId="77777777" w:rsidR="00B62A87" w:rsidRDefault="00B62A87">
      <w:pPr>
        <w:spacing w:line="276" w:lineRule="auto"/>
        <w:ind w:right="6841"/>
        <w:jc w:val="both"/>
        <w:rPr>
          <w:b/>
        </w:rPr>
        <w:sectPr w:rsidR="00B62A87">
          <w:type w:val="continuous"/>
          <w:pgSz w:w="11920" w:h="16840"/>
          <w:pgMar w:top="720" w:right="720" w:bottom="720" w:left="720" w:header="0" w:footer="164" w:gutter="0"/>
          <w:cols w:space="720"/>
        </w:sectPr>
      </w:pPr>
    </w:p>
    <w:p w14:paraId="12EF8E25" w14:textId="75E6BA1A" w:rsidR="00B62A87" w:rsidRPr="00CA4B2A" w:rsidRDefault="0064488E">
      <w:pPr>
        <w:spacing w:line="276" w:lineRule="auto"/>
        <w:jc w:val="both"/>
        <w:rPr>
          <w:b/>
          <w:sz w:val="22"/>
          <w:szCs w:val="22"/>
        </w:rPr>
      </w:pPr>
      <w:r w:rsidRPr="00CA4B2A">
        <w:rPr>
          <w:b/>
          <w:sz w:val="22"/>
          <w:szCs w:val="22"/>
        </w:rPr>
        <w:t xml:space="preserve">INTRODUCTION </w:t>
      </w:r>
    </w:p>
    <w:p w14:paraId="72A314B5" w14:textId="77777777" w:rsidR="001D64B4" w:rsidRPr="00CA4B2A" w:rsidRDefault="001D64B4" w:rsidP="001D64B4">
      <w:pPr>
        <w:spacing w:line="276" w:lineRule="auto"/>
        <w:jc w:val="both"/>
        <w:rPr>
          <w:sz w:val="22"/>
          <w:szCs w:val="22"/>
        </w:rPr>
      </w:pPr>
      <w:bookmarkStart w:id="4" w:name="OLE_LINK1"/>
      <w:bookmarkStart w:id="5" w:name="OLE_LINK2"/>
      <w:r w:rsidRPr="00CA4B2A">
        <w:rPr>
          <w:sz w:val="22"/>
          <w:szCs w:val="22"/>
        </w:rPr>
        <w:t>Changes in the value of the rupiah in relation to the US dollar have had a significant impact on Indonesia's export industry (Cheung &amp; Sengupta, 2013). One of the main export commodities affected by exchange rate volatility is crude palm oil (CPO), which accounts for a significant portion of the country's foreign exchange profits. As the world's largest producer of CPO, Indonesia depends heavily on its exports to maintain economic stability, particularly in terms of foreign exchange (Narayan &amp; Narayan, 2004). As a result, changes in external factors such as global demand, international pricing, and currency rate fluctuations can have a direct impact on the performance of CPO exports (Bahmani-Oskooee &amp; Mohammadian).</w:t>
      </w:r>
    </w:p>
    <w:p w14:paraId="755E592A" w14:textId="77777777" w:rsidR="001D64B4" w:rsidRPr="00CA4B2A" w:rsidRDefault="001D64B4" w:rsidP="001D64B4">
      <w:pPr>
        <w:spacing w:line="276" w:lineRule="auto"/>
        <w:jc w:val="both"/>
        <w:rPr>
          <w:sz w:val="22"/>
          <w:szCs w:val="22"/>
        </w:rPr>
      </w:pPr>
      <w:r w:rsidRPr="00CA4B2A">
        <w:rPr>
          <w:sz w:val="22"/>
          <w:szCs w:val="22"/>
        </w:rPr>
        <w:t>One of the world's biggest producers of CPO, Indonesia mostly relies on exports to maintain economic stability, particularly in terms of foreign exchange. Therefore, the performance of CPO exports may be immediately impacted by any changes in external factors, such as worldwide price, global demand, and undoubtedly exchange rate variations. Furthermore, bilateral agreements, export taxes, and trade-related national and international economic policies can all have a big influence on how competitive Indonesia's CPO is on the world market.</w:t>
      </w:r>
    </w:p>
    <w:p w14:paraId="3F8F9260" w14:textId="77777777" w:rsidR="001D64B4" w:rsidRPr="00CA4B2A" w:rsidRDefault="001D64B4" w:rsidP="001D64B4">
      <w:pPr>
        <w:spacing w:line="276" w:lineRule="auto"/>
        <w:jc w:val="both"/>
        <w:rPr>
          <w:sz w:val="22"/>
          <w:szCs w:val="22"/>
        </w:rPr>
      </w:pPr>
      <w:r w:rsidRPr="00CA4B2A">
        <w:rPr>
          <w:sz w:val="22"/>
          <w:szCs w:val="22"/>
        </w:rPr>
        <w:t xml:space="preserve">Since CPO is a strategically important commodity, any changes in international commerce, particularly currency exchange rates, may have an effect on the industry's success. However, historical data indicates that Indonesia's CPO export volume and exchange rate volatility do not always match economic theory projections. According to general economic theory, as the rupiah depreciates and the exchange rate depreciates, export volumes should rise since product prices become more competitive on the global market (Siregar, 2020). </w:t>
      </w:r>
    </w:p>
    <w:p w14:paraId="4E0700DB" w14:textId="77777777" w:rsidR="008001BB" w:rsidRPr="00CA4B2A" w:rsidRDefault="001D64B4" w:rsidP="001D64B4">
      <w:pPr>
        <w:spacing w:line="276" w:lineRule="auto"/>
        <w:jc w:val="both"/>
        <w:rPr>
          <w:sz w:val="22"/>
          <w:szCs w:val="22"/>
        </w:rPr>
        <w:sectPr w:rsidR="008001BB" w:rsidRPr="00CA4B2A" w:rsidSect="00007894">
          <w:type w:val="continuous"/>
          <w:pgSz w:w="11920" w:h="16840"/>
          <w:pgMar w:top="851" w:right="851" w:bottom="851" w:left="851" w:header="737" w:footer="680" w:gutter="0"/>
          <w:cols w:space="720"/>
        </w:sectPr>
      </w:pPr>
      <w:r w:rsidRPr="00CA4B2A">
        <w:rPr>
          <w:sz w:val="22"/>
          <w:szCs w:val="22"/>
        </w:rPr>
        <w:t xml:space="preserve">However, export quantities need to decrease as the rupiah's value rises. Data on Indonesia's exports of CPO from 2018 to 2023, however, reveal a trend that occasionally deviates from this notion. Exports of CPO, for example, did not substantially increase when the rupiah depreciated or regularly decline when it increased. This trend increases the likelihood that CPO exports may react asymmetrically to exchange rate fluctuations. </w:t>
      </w:r>
      <w:r w:rsidRPr="00CA4B2A">
        <w:rPr>
          <w:b/>
          <w:bCs/>
          <w:sz w:val="22"/>
          <w:szCs w:val="22"/>
        </w:rPr>
        <w:t>Figure 1</w:t>
      </w:r>
      <w:r w:rsidRPr="00CA4B2A">
        <w:rPr>
          <w:sz w:val="22"/>
          <w:szCs w:val="22"/>
        </w:rPr>
        <w:t xml:space="preserve"> illustrates the correlation between the value of Indonesia's CPO exports to the international market and the currency rate (Rp/USD).</w:t>
      </w:r>
    </w:p>
    <w:p w14:paraId="01EF38EE" w14:textId="07A7DE47" w:rsidR="001D64B4" w:rsidRPr="001D64B4" w:rsidRDefault="001D64B4" w:rsidP="001D64B4">
      <w:pPr>
        <w:spacing w:line="276" w:lineRule="auto"/>
        <w:jc w:val="both"/>
      </w:pPr>
    </w:p>
    <w:p w14:paraId="5167C3F3" w14:textId="77777777" w:rsidR="001D64B4" w:rsidRPr="001D64B4" w:rsidRDefault="001D64B4" w:rsidP="00ED14F1">
      <w:pPr>
        <w:spacing w:line="276" w:lineRule="auto"/>
        <w:ind w:left="1560"/>
        <w:jc w:val="both"/>
        <w:rPr>
          <w:b/>
          <w:bCs/>
        </w:rPr>
      </w:pPr>
      <w:r w:rsidRPr="001D64B4">
        <w:rPr>
          <w:noProof/>
          <w:lang w:val="id-ID"/>
        </w:rPr>
        <w:drawing>
          <wp:inline distT="0" distB="0" distL="0" distR="0" wp14:anchorId="03816FDA" wp14:editId="5BFD920C">
            <wp:extent cx="4345663" cy="2797521"/>
            <wp:effectExtent l="0" t="0" r="10795" b="9525"/>
            <wp:docPr id="601500735" name="Bagan 1">
              <a:extLst xmlns:a="http://schemas.openxmlformats.org/drawingml/2006/main">
                <a:ext uri="{FF2B5EF4-FFF2-40B4-BE49-F238E27FC236}">
                  <a16:creationId xmlns:a16="http://schemas.microsoft.com/office/drawing/2014/main" id="{FD3BF636-C835-44E7-6280-07681456E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D511AE" w14:textId="77777777" w:rsidR="001D64B4" w:rsidRPr="00012AF3" w:rsidRDefault="001D64B4" w:rsidP="00012AF3">
      <w:pPr>
        <w:spacing w:line="276" w:lineRule="auto"/>
        <w:ind w:left="851" w:hanging="851"/>
        <w:jc w:val="center"/>
      </w:pPr>
      <w:r w:rsidRPr="00012AF3">
        <w:t>Figure 1. The Relationship Between the Exchange Rate (Rp/USD) and the Value of Indonesia's CPO Exports to the Global Market from 2018 – 2023</w:t>
      </w:r>
    </w:p>
    <w:bookmarkEnd w:id="4"/>
    <w:bookmarkEnd w:id="5"/>
    <w:p w14:paraId="4D1406DE" w14:textId="77777777" w:rsidR="001D64B4" w:rsidRPr="00CA4B2A" w:rsidRDefault="001D64B4" w:rsidP="001D64B4">
      <w:pPr>
        <w:spacing w:line="276" w:lineRule="auto"/>
        <w:jc w:val="both"/>
        <w:rPr>
          <w:sz w:val="22"/>
          <w:szCs w:val="22"/>
        </w:rPr>
      </w:pPr>
      <w:r w:rsidRPr="00CA4B2A">
        <w:rPr>
          <w:sz w:val="22"/>
          <w:szCs w:val="22"/>
        </w:rPr>
        <w:t xml:space="preserve">Data on CPO export volumes and exchange rates showed notable oscillations between 2018 and 2023. For example, Indonesia exported 1,279,963 tons of CPO in the first quarter of 2020, but the rupiah fell to Rp16,367 per US dollar. However, the export volume dropped to 1,010,789 tons in the second quarter of 2020 when the exchange rate increased to Rp14,302 per US dollar. Only 850,786 tons of CPO were exported in the first quarter of 2021, however, indicating that there was no appreciable rise in concomitant with the higher currency rate. This data reveals a striking and unequal relationship between CPO export quantities and fluctuations in exchange rates. </w:t>
      </w:r>
    </w:p>
    <w:p w14:paraId="14585781" w14:textId="77777777" w:rsidR="001D64B4" w:rsidRPr="00CA4B2A" w:rsidRDefault="001D64B4" w:rsidP="001D64B4">
      <w:pPr>
        <w:spacing w:line="276" w:lineRule="auto"/>
        <w:jc w:val="both"/>
        <w:rPr>
          <w:sz w:val="22"/>
          <w:szCs w:val="22"/>
        </w:rPr>
      </w:pPr>
      <w:r w:rsidRPr="00CA4B2A">
        <w:rPr>
          <w:sz w:val="22"/>
          <w:szCs w:val="22"/>
        </w:rPr>
        <w:t>Alternative interpretations of this concept imply that there are more complex factors at play in the link between currency rates and CPO exports. Non-economic factors that have a major influence on export volumes include trade barriers, laws governing the export of CPO, and demand trends from major importing countries like China and India. Export reactions may not necessarily align with expected currency rate swings because to the asymmetric impacts of export restrictions and trade obstacles on CPO export quantities, as per previous research (Hadi, 2021; Leong &amp; Macmillan, 2019).</w:t>
      </w:r>
    </w:p>
    <w:p w14:paraId="1C21B613" w14:textId="77777777" w:rsidR="001D64B4" w:rsidRPr="00CA4B2A" w:rsidRDefault="001D64B4" w:rsidP="001D64B4">
      <w:pPr>
        <w:spacing w:line="276" w:lineRule="auto"/>
        <w:jc w:val="both"/>
        <w:rPr>
          <w:sz w:val="22"/>
          <w:szCs w:val="22"/>
        </w:rPr>
      </w:pPr>
      <w:r w:rsidRPr="00CA4B2A">
        <w:rPr>
          <w:sz w:val="22"/>
          <w:szCs w:val="22"/>
        </w:rPr>
        <w:t>The use of contractual agreements in international trade is another element influencing the unequal impact of exchange rates on Indonesia's CPO exports. In contractual systems, importers and exporters commit to conducting business on certain conditions, such as predetermined pricing in currencies that may be affected by changes in exchange rates. Because they make more money in local currency, exporters could earn more from declining exchange rates than from increasing ones. Conversely, because of less advantageous currency conversion, revenues might decline during appreciation.</w:t>
      </w:r>
    </w:p>
    <w:p w14:paraId="59599E25" w14:textId="6290D70F" w:rsidR="00012AF3" w:rsidRPr="00CA4B2A" w:rsidRDefault="00012AF3" w:rsidP="001D64B4">
      <w:pPr>
        <w:spacing w:line="276" w:lineRule="auto"/>
        <w:jc w:val="both"/>
        <w:rPr>
          <w:sz w:val="22"/>
          <w:szCs w:val="22"/>
        </w:rPr>
      </w:pPr>
      <w:r w:rsidRPr="00CA4B2A">
        <w:rPr>
          <w:sz w:val="22"/>
          <w:szCs w:val="22"/>
        </w:rPr>
        <w:t>Furthermore, the timing of trade contracts, as well as the negotiation power of exporters and importers, plays a critical role in determining the outcomes of exchange rate fluctuations on CPO exports. Long-term contracts that lock prices in foreign currencies can delay the impact of exchange rate changes, creating a lagged effect on export volumes and revenue. Additionally, price sensitivity in importing countries can influence demand, especially when higher exchange rates make Indonesian CPO relatively expensive compared to alternatives. The interplay between these contractual arrangements and price elasticity suggests that exchange rate dynamics alone cannot fully explain the variability in export volumes, highlighting the need for a multifaceted approach to analyze trade behavior.</w:t>
      </w:r>
    </w:p>
    <w:p w14:paraId="5452B1F2" w14:textId="77777777" w:rsidR="001D64B4" w:rsidRPr="00CA4B2A" w:rsidRDefault="001D64B4" w:rsidP="001D64B4">
      <w:pPr>
        <w:spacing w:line="276" w:lineRule="auto"/>
        <w:jc w:val="both"/>
        <w:rPr>
          <w:sz w:val="22"/>
          <w:szCs w:val="22"/>
        </w:rPr>
      </w:pPr>
      <w:r w:rsidRPr="00CA4B2A">
        <w:rPr>
          <w:sz w:val="22"/>
          <w:szCs w:val="22"/>
        </w:rPr>
        <w:t>The Ministry of Finance (2019) states that there are distinct phases to Indonesia's system of international trade contracts. According to the Ministry of Trade's (2011) instructions, the first step is for the exporter and importer to come to an agreement in writing.</w:t>
      </w:r>
      <w:r w:rsidRPr="00CA4B2A">
        <w:rPr>
          <w:sz w:val="22"/>
          <w:szCs w:val="22"/>
          <w:lang w:val="id-ID"/>
        </w:rPr>
        <w:t xml:space="preserve"> The second stage involves the Letter of Credit (L/C) payment mechanism, where the bank provides a payment guarantee according to the importer’s instructions, with payment made after receiving the documents. The third stage is cargo shipment, documented as per the agreement through a bill of lading, and the fourth stage involves document negotiation, allowing the exporter to receive payment while the importer fulfills obligations to obtain the goods.</w:t>
      </w:r>
    </w:p>
    <w:p w14:paraId="54E7EAE6" w14:textId="77777777" w:rsidR="00B62A87" w:rsidRPr="00CA4B2A" w:rsidRDefault="00B62A87">
      <w:pPr>
        <w:spacing w:line="276" w:lineRule="auto"/>
        <w:jc w:val="both"/>
        <w:rPr>
          <w:sz w:val="22"/>
          <w:szCs w:val="22"/>
        </w:rPr>
      </w:pPr>
    </w:p>
    <w:p w14:paraId="602B6B85" w14:textId="2F7E6A89" w:rsidR="00B62A87" w:rsidRPr="00CA4B2A" w:rsidRDefault="0064488E">
      <w:pPr>
        <w:pBdr>
          <w:top w:val="nil"/>
          <w:left w:val="nil"/>
          <w:bottom w:val="nil"/>
          <w:right w:val="nil"/>
          <w:between w:val="nil"/>
        </w:pBdr>
        <w:spacing w:before="120" w:after="120" w:line="276" w:lineRule="auto"/>
        <w:rPr>
          <w:color w:val="000000"/>
          <w:sz w:val="22"/>
          <w:szCs w:val="22"/>
        </w:rPr>
      </w:pPr>
      <w:r w:rsidRPr="00CA4B2A">
        <w:rPr>
          <w:b/>
          <w:color w:val="000000"/>
          <w:sz w:val="22"/>
          <w:szCs w:val="22"/>
        </w:rPr>
        <w:t xml:space="preserve">RESEARCH METHOD </w:t>
      </w:r>
    </w:p>
    <w:p w14:paraId="7C7BB669" w14:textId="77777777" w:rsidR="00303793" w:rsidRPr="00CA4B2A" w:rsidRDefault="00303793" w:rsidP="00303793">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The focus of this study is the export value of Indonesia's palm oil commodity, specifically in the form of Crude Palm Oil (CPO), directed toward the global market. The dependent variable data is sourced from the International Trade Community (ITC). Meanwhile, the real exchange rate serves as the independent variable and is also derived from ITC records. This research employs secondary data structured as a monthly time series spanning 180 months, from January 2006 through December 2023. To analyze the data, the Nonlinear Autoregressive Distributed Lag (NARDL) method is applied, incorporating an asymmetric framework.</w:t>
      </w:r>
    </w:p>
    <w:p w14:paraId="3111D554" w14:textId="77777777" w:rsidR="00303793" w:rsidRPr="00CA4B2A" w:rsidRDefault="00303793" w:rsidP="00303793">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The NARDL methodology is chosen to investigate the asymmetric impact of exchange rate fluctuations on CPO exports. The model includes a cointegration test since the data is non-stationary at the level but achieves stationarity after first differencing. Multiple model variations are tested to identify the most suitable fit. The analysis begins with a stationarity test, which evaluates whether the time series data is stable over time. Following this, the optimal lag length for both dependent and independent variables is determined to establish the best model configuration, based on minimizing the lag count.</w:t>
      </w:r>
    </w:p>
    <w:p w14:paraId="3FAA277A" w14:textId="77777777" w:rsidR="00BE4DEF" w:rsidRPr="00CA4B2A" w:rsidRDefault="00942BB0" w:rsidP="00942BB0">
      <w:pPr>
        <w:pBdr>
          <w:top w:val="nil"/>
          <w:left w:val="nil"/>
          <w:bottom w:val="nil"/>
          <w:right w:val="nil"/>
          <w:between w:val="nil"/>
        </w:pBdr>
        <w:spacing w:line="276" w:lineRule="auto"/>
        <w:jc w:val="both"/>
        <w:rPr>
          <w:bCs/>
          <w:color w:val="000000"/>
          <w:sz w:val="22"/>
          <w:szCs w:val="22"/>
        </w:rPr>
      </w:pPr>
      <w:r w:rsidRPr="00CA4B2A">
        <w:rPr>
          <w:bCs/>
          <w:color w:val="000000"/>
          <w:sz w:val="22"/>
          <w:szCs w:val="22"/>
          <w:lang w:val="id-ID"/>
        </w:rPr>
        <w:t xml:space="preserve">Assume that the export value of CPO and the exchange rate have cointegration in the context of cointegration. This implies that although they may temporarily diverge, they tend to return to equilibrium in the long run. There are three possible cases of cointegration: the existence of linear cointegration, the existence of non-linear cointegration, and the absence of cointegration. In recent studies, </w:t>
      </w:r>
      <w:r w:rsidR="00BE4DEF" w:rsidRPr="00CA4B2A">
        <w:rPr>
          <w:bCs/>
          <w:color w:val="000000"/>
          <w:sz w:val="22"/>
          <w:szCs w:val="22"/>
        </w:rPr>
        <w:t>Shin et al. (2011) introduced a cointegration approach known as the asymmetric ARDL method, which employs the separation of positive and negative partial sums to identify asymmetries in both short-term and long-term relationships. This framework facilitates the simultaneous investigation of non-linear and non-stationary dynamics within the structure of an unrestricted error correction model.</w:t>
      </w:r>
    </w:p>
    <w:p w14:paraId="1303A43A" w14:textId="377C8940"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New variables describe occurrences of appreciation and depreciation. According to this approach, the time series of the rupiah exchange rate is broken down into two components, ERt+ and ERt-, which are explained in the following formula:</w:t>
      </w:r>
    </w:p>
    <w:p w14:paraId="0DC00BBB"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ERt+ = ∑ t+ = ∑ t,0) ……………………………... (1)</w:t>
      </w:r>
    </w:p>
    <w:p w14:paraId="1B8EC36D"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ERt- = ∑ t- = ∑ t,0) ………………….…………… (2)</w:t>
      </w:r>
    </w:p>
    <w:p w14:paraId="4EEBF2CE"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Where t+ and t- are partial sum processes of the appreciation and depreciation of the rupiah exchange rate. Therefore, the model formulation in the research on the influence of the exchange rate on the agricultural export value in each sub-sector in Indonesia uses an asymmetric approach. The equation model is developed for the export value variable of Indonesia’s CPO. Below is the general NARDL model between the rupiah exchange rate and the export value of Indonesian palm oil CPO related to Shin et al.'s (2014) research:</w:t>
      </w:r>
    </w:p>
    <w:p w14:paraId="4CCEAA3E" w14:textId="25BE843D" w:rsidR="00942BB0" w:rsidRPr="00CA4B2A" w:rsidRDefault="00942BB0" w:rsidP="00427D5B">
      <w:pPr>
        <w:pBdr>
          <w:top w:val="nil"/>
          <w:left w:val="nil"/>
          <w:bottom w:val="nil"/>
          <w:right w:val="nil"/>
          <w:between w:val="nil"/>
        </w:pBdr>
        <w:spacing w:line="276" w:lineRule="auto"/>
        <w:ind w:right="-130"/>
        <w:jc w:val="both"/>
        <w:rPr>
          <w:bCs/>
          <w:color w:val="000000"/>
          <w:sz w:val="22"/>
          <w:szCs w:val="22"/>
          <w:lang w:val="id-ID"/>
        </w:rPr>
      </w:pPr>
      <w:r w:rsidRPr="00CA4B2A">
        <w:rPr>
          <w:bCs/>
          <w:color w:val="000000"/>
          <w:sz w:val="22"/>
          <w:szCs w:val="22"/>
          <w:lang w:val="id-ID"/>
        </w:rPr>
        <w:t>ΔLNXt = μ + ρLNXt-1 + θ+LNER+t-1 + θ-LNER-t-1 + ∑ ΔLNXt-j + ∑ +ΔLNER+t-j + ∑ –ΔLNER-t-j + et ………… (3)</w:t>
      </w:r>
    </w:p>
    <w:p w14:paraId="2F65EB75"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The dependent variable used in this research is the export value of Indonesia’s palm oil commodity to the global market in the form of CPO (Crude Palm Oil), which is accessed through ITC (International Trade Community). The independent variable is the real exchange rate obtained from ITC. This research utilizes secondary data in the form of monthly time series over 180 months from January 2006 to December 2023. The method used in this study is the Nonlinear Autoregressive Distributed Lag (NARDL) with an asymmetric approach.</w:t>
      </w:r>
    </w:p>
    <w:p w14:paraId="7406C6A9"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The Nonlinear Autoregressive Distributed Lag (NARDL) method is employed to assess the asymmetric relationship between the exchange rate and palm oil CPO exports. A cointegration test is used in the model as it was found that there is no stationarity at the level but present at the first difference. Model variations are applied to obtain the best model. The stationarity test is the initial step in time series data testing, aimed at examining data stationarity. Determining the optimal lag for the dependent and independent variables aims to identify the best model using the minimum lag.</w:t>
      </w:r>
    </w:p>
    <w:p w14:paraId="43003575"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 xml:space="preserve">Assume that the export value of CPO and the exchange rate have cointegration in the context of cointegration. This implies that although they may temporarily diverge, they tend to return to equilibrium in the long run. There are three possible cases of cointegration: the existence of linear cointegration, the existence of non-linear cointegration, and the absence of cointegration. In recent studies, Shin et al. (2011) developed an asymmetric ARDL cointegration methodology, which uses the decomposition of positive and negative partial sums to detect asymmetric effects in </w:t>
      </w:r>
      <w:r w:rsidRPr="00CA4B2A">
        <w:rPr>
          <w:bCs/>
          <w:color w:val="000000"/>
          <w:sz w:val="22"/>
          <w:szCs w:val="22"/>
          <w:lang w:val="id-ID"/>
        </w:rPr>
        <w:lastRenderedPageBreak/>
        <w:t>both the long and short run. The asymmetric ARDL specification allows for the combined analysis of non-stationarity and non-linearity issues within an unrestricted error correction model context.</w:t>
      </w:r>
    </w:p>
    <w:p w14:paraId="51E76A12" w14:textId="77777777" w:rsidR="00942BB0"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This study estimates using the above model to observe the asymmetric effects of the rupiah exchange rate on the export value of Indonesian palm oil CPO. The model incorporates an asymmetric approach in both the short and long term. ΔLNXt represents the change in the natural logarithm of the export value of Indonesian palm oil CPO, influenced by changes in the rupiah exchange rate. In the long-term relationship, LNXt-1 indicates the natural logarithm of the export value of Indonesian palm oil CPO. LNER+t-1 and LNER-t-1 denote the long-term exchange rate variables in the equation. In the short-term relationship, ΔLNXt-j represents the change in the natural logarithm of the export value of Indonesian palm oil CPO. The natural logarithm of the export value of Indonesian palm oil CPO is differentiated and takes either positive or negative LNX values. Meanwhile, the short-term exchange rate variables are represented by ΔLNER+t-j and ΔLNER-t-j, which are the changes in the natural logarithm of the short-term positive exchange rate, where the natural logarithm of the exchange rate is differentiated, and either positive or negative LNER values are taken.</w:t>
      </w:r>
    </w:p>
    <w:p w14:paraId="60E5422B" w14:textId="35DD1892" w:rsidR="00303793" w:rsidRPr="00CA4B2A" w:rsidRDefault="00942BB0" w:rsidP="00942BB0">
      <w:pPr>
        <w:pBdr>
          <w:top w:val="nil"/>
          <w:left w:val="nil"/>
          <w:bottom w:val="nil"/>
          <w:right w:val="nil"/>
          <w:between w:val="nil"/>
        </w:pBdr>
        <w:spacing w:line="276" w:lineRule="auto"/>
        <w:jc w:val="both"/>
        <w:rPr>
          <w:bCs/>
          <w:color w:val="000000"/>
          <w:sz w:val="22"/>
          <w:szCs w:val="22"/>
          <w:lang w:val="id-ID"/>
        </w:rPr>
      </w:pPr>
      <w:r w:rsidRPr="00CA4B2A">
        <w:rPr>
          <w:bCs/>
          <w:color w:val="000000"/>
          <w:sz w:val="22"/>
          <w:szCs w:val="22"/>
          <w:lang w:val="id-ID"/>
        </w:rPr>
        <w:t>The ordinary least square (OLS) equation of equation (3) is used to test the validity of the long-term asymmetric relationship. Technically, we test the null hypothesis, which states that all variable coefficients are zero (</w:t>
      </w:r>
      <w:r w:rsidRPr="00CA4B2A">
        <w:rPr>
          <w:rFonts w:ascii="Cambria Math" w:hAnsi="Cambria Math" w:cs="Cambria Math"/>
          <w:bCs/>
          <w:color w:val="000000"/>
          <w:sz w:val="22"/>
          <w:szCs w:val="22"/>
          <w:lang w:val="id-ID"/>
        </w:rPr>
        <w:t>𝐽</w:t>
      </w:r>
      <w:r w:rsidRPr="00CA4B2A">
        <w:rPr>
          <w:bCs/>
          <w:color w:val="000000"/>
          <w:sz w:val="22"/>
          <w:szCs w:val="22"/>
          <w:lang w:val="id-ID"/>
        </w:rPr>
        <w:t>0:ω1=ω2+=ω2−=ω3=ω4=0), opposing this hypothesis is that all coefficients are non-zero. Rejecting the null hypothesis indicates the presence of asymmetric effects. The Wald test is used to examine asymmetric testing in both the long and short term. In the Wald test, we test the hypothesis to see if the long-term coefficients exhibit asymmetric effects with one another (</w:t>
      </w:r>
      <w:r w:rsidRPr="00CA4B2A">
        <w:rPr>
          <w:bCs/>
          <w:i/>
          <w:iCs/>
          <w:color w:val="000000"/>
          <w:sz w:val="22"/>
          <w:szCs w:val="22"/>
          <w:lang w:val="id-ID"/>
        </w:rPr>
        <w:t>H</w:t>
      </w:r>
      <w:r w:rsidRPr="00CA4B2A">
        <w:rPr>
          <w:bCs/>
          <w:color w:val="000000"/>
          <w:sz w:val="22"/>
          <w:szCs w:val="22"/>
          <w:lang w:val="id-ID"/>
        </w:rPr>
        <w:t>0:</w:t>
      </w:r>
      <w:r w:rsidRPr="00CA4B2A">
        <w:rPr>
          <w:rFonts w:ascii="Cambria Math" w:hAnsi="Cambria Math" w:cs="Cambria Math"/>
          <w:bCs/>
          <w:color w:val="000000"/>
          <w:sz w:val="22"/>
          <w:szCs w:val="22"/>
          <w:lang w:val="id-ID"/>
        </w:rPr>
        <w:t>𝐹𝐫</w:t>
      </w:r>
      <w:r w:rsidRPr="00CA4B2A">
        <w:rPr>
          <w:bCs/>
          <w:color w:val="000000"/>
          <w:sz w:val="22"/>
          <w:szCs w:val="22"/>
          <w:lang w:val="id-ID"/>
        </w:rPr>
        <w:t>+=</w:t>
      </w:r>
      <w:r w:rsidRPr="00CA4B2A">
        <w:rPr>
          <w:rFonts w:ascii="Cambria Math" w:hAnsi="Cambria Math" w:cs="Cambria Math"/>
          <w:bCs/>
          <w:color w:val="000000"/>
          <w:sz w:val="22"/>
          <w:szCs w:val="22"/>
          <w:lang w:val="id-ID"/>
        </w:rPr>
        <w:t>𝐹𝐫</w:t>
      </w:r>
      <w:r w:rsidRPr="00CA4B2A">
        <w:rPr>
          <w:bCs/>
          <w:color w:val="000000"/>
          <w:sz w:val="22"/>
          <w:szCs w:val="22"/>
          <w:lang w:val="id-ID"/>
        </w:rPr>
        <w:t>−). In the short term, this can be tested with the assumption that the sum of short-term asymmetric coefficients is similar (</w:t>
      </w:r>
      <w:r w:rsidRPr="00CA4B2A">
        <w:rPr>
          <w:bCs/>
          <w:i/>
          <w:iCs/>
          <w:color w:val="000000"/>
          <w:sz w:val="22"/>
          <w:szCs w:val="22"/>
          <w:lang w:val="id-ID"/>
        </w:rPr>
        <w:t>H</w:t>
      </w:r>
      <w:r w:rsidRPr="00CA4B2A">
        <w:rPr>
          <w:bCs/>
          <w:color w:val="000000"/>
          <w:sz w:val="22"/>
          <w:szCs w:val="22"/>
          <w:lang w:val="id-ID"/>
        </w:rPr>
        <w:t>0=∑i+=∑i−), opposing the alternative hypothesis with different quantities.</w:t>
      </w:r>
    </w:p>
    <w:p w14:paraId="0D419A6C" w14:textId="77777777" w:rsidR="00B62A87" w:rsidRPr="00CA4B2A" w:rsidRDefault="00B62A87">
      <w:pPr>
        <w:pBdr>
          <w:top w:val="nil"/>
          <w:left w:val="nil"/>
          <w:bottom w:val="nil"/>
          <w:right w:val="nil"/>
          <w:between w:val="nil"/>
        </w:pBdr>
        <w:spacing w:line="276" w:lineRule="auto"/>
        <w:jc w:val="both"/>
        <w:rPr>
          <w:b/>
          <w:color w:val="000000"/>
          <w:sz w:val="22"/>
          <w:szCs w:val="22"/>
        </w:rPr>
      </w:pPr>
    </w:p>
    <w:p w14:paraId="28CDE92B" w14:textId="1F2DA959" w:rsidR="00B62A87" w:rsidRPr="00CA4B2A" w:rsidRDefault="0064488E">
      <w:pPr>
        <w:pBdr>
          <w:top w:val="nil"/>
          <w:left w:val="nil"/>
          <w:bottom w:val="nil"/>
          <w:right w:val="nil"/>
          <w:between w:val="nil"/>
        </w:pBdr>
        <w:spacing w:line="276" w:lineRule="auto"/>
        <w:jc w:val="both"/>
        <w:rPr>
          <w:color w:val="000000"/>
          <w:sz w:val="22"/>
          <w:szCs w:val="22"/>
        </w:rPr>
      </w:pPr>
      <w:r w:rsidRPr="00CA4B2A">
        <w:rPr>
          <w:b/>
          <w:color w:val="000000"/>
          <w:sz w:val="22"/>
          <w:szCs w:val="22"/>
        </w:rPr>
        <w:t xml:space="preserve">RESULTS AND DISCUSSION </w:t>
      </w:r>
    </w:p>
    <w:p w14:paraId="36434895" w14:textId="77777777" w:rsidR="004369AC" w:rsidRPr="004369AC" w:rsidRDefault="004369AC" w:rsidP="004369AC">
      <w:pPr>
        <w:spacing w:line="276" w:lineRule="auto"/>
        <w:jc w:val="both"/>
        <w:rPr>
          <w:color w:val="000000"/>
          <w:lang w:val="id-ID"/>
        </w:rPr>
      </w:pPr>
      <w:r w:rsidRPr="00CA4B2A">
        <w:rPr>
          <w:color w:val="000000"/>
          <w:sz w:val="22"/>
          <w:szCs w:val="22"/>
          <w:lang w:val="id-ID"/>
        </w:rPr>
        <w:t>Descriptive statistics provide an overview or description of the data, viewed from the mean (average), standard deviation, maximum value, minimum value, and coefficient of variation</w:t>
      </w:r>
      <w:r w:rsidRPr="004369AC">
        <w:rPr>
          <w:color w:val="000000"/>
          <w:lang w:val="id-ID"/>
        </w:rPr>
        <w:t>.</w:t>
      </w:r>
    </w:p>
    <w:p w14:paraId="4E4449AE" w14:textId="14D9DE8A" w:rsidR="004369AC" w:rsidRPr="004369AC" w:rsidRDefault="004369AC" w:rsidP="00B03F72">
      <w:pPr>
        <w:spacing w:line="276" w:lineRule="auto"/>
        <w:jc w:val="center"/>
        <w:rPr>
          <w:color w:val="000000"/>
          <w:lang w:val="id-ID"/>
        </w:rPr>
      </w:pPr>
      <w:r w:rsidRPr="004369AC">
        <w:rPr>
          <w:color w:val="000000"/>
          <w:lang w:val="id-ID"/>
        </w:rPr>
        <w:t>Tab</w:t>
      </w:r>
      <w:r w:rsidR="00CF7203">
        <w:rPr>
          <w:color w:val="000000"/>
          <w:lang w:val="id-ID"/>
        </w:rPr>
        <w:t>le</w:t>
      </w:r>
      <w:r w:rsidRPr="004369AC">
        <w:rPr>
          <w:color w:val="000000"/>
          <w:lang w:val="id-ID"/>
        </w:rPr>
        <w:t xml:space="preserve"> 1. Descriptive Statistic</w:t>
      </w:r>
    </w:p>
    <w:tbl>
      <w:tblPr>
        <w:tblStyle w:val="TableGrid"/>
        <w:tblW w:w="7413" w:type="dxa"/>
        <w:tblInd w:w="1134" w:type="dxa"/>
        <w:tblBorders>
          <w:left w:val="none" w:sz="0" w:space="0" w:color="auto"/>
          <w:right w:val="none" w:sz="0" w:space="0" w:color="auto"/>
          <w:insideV w:val="none" w:sz="0" w:space="0" w:color="auto"/>
        </w:tblBorders>
        <w:tblLook w:val="04A0" w:firstRow="1" w:lastRow="0" w:firstColumn="1" w:lastColumn="0" w:noHBand="0" w:noVBand="1"/>
      </w:tblPr>
      <w:tblGrid>
        <w:gridCol w:w="2393"/>
        <w:gridCol w:w="795"/>
        <w:gridCol w:w="986"/>
        <w:gridCol w:w="939"/>
        <w:gridCol w:w="1041"/>
        <w:gridCol w:w="1259"/>
      </w:tblGrid>
      <w:tr w:rsidR="004369AC" w:rsidRPr="004369AC" w14:paraId="7A07FB5B" w14:textId="77777777" w:rsidTr="00B03F72">
        <w:tc>
          <w:tcPr>
            <w:tcW w:w="2393" w:type="dxa"/>
          </w:tcPr>
          <w:p w14:paraId="2CCB71FA"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Variable</w:t>
            </w:r>
          </w:p>
        </w:tc>
        <w:tc>
          <w:tcPr>
            <w:tcW w:w="795" w:type="dxa"/>
          </w:tcPr>
          <w:p w14:paraId="13E04E87"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Min</w:t>
            </w:r>
          </w:p>
        </w:tc>
        <w:tc>
          <w:tcPr>
            <w:tcW w:w="986" w:type="dxa"/>
          </w:tcPr>
          <w:p w14:paraId="1F314831"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Max</w:t>
            </w:r>
          </w:p>
        </w:tc>
        <w:tc>
          <w:tcPr>
            <w:tcW w:w="939" w:type="dxa"/>
          </w:tcPr>
          <w:p w14:paraId="40AB4DA7"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Mean</w:t>
            </w:r>
          </w:p>
        </w:tc>
        <w:tc>
          <w:tcPr>
            <w:tcW w:w="1041" w:type="dxa"/>
          </w:tcPr>
          <w:p w14:paraId="06CECEF2"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Stdev</w:t>
            </w:r>
          </w:p>
        </w:tc>
        <w:tc>
          <w:tcPr>
            <w:tcW w:w="1259" w:type="dxa"/>
          </w:tcPr>
          <w:p w14:paraId="46E5D422"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Coef. Var</w:t>
            </w:r>
          </w:p>
        </w:tc>
      </w:tr>
      <w:tr w:rsidR="004369AC" w:rsidRPr="004369AC" w14:paraId="46B05D1A" w14:textId="77777777" w:rsidTr="00B03F72">
        <w:tc>
          <w:tcPr>
            <w:tcW w:w="2393" w:type="dxa"/>
          </w:tcPr>
          <w:p w14:paraId="1F42DE8D"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Exchange Rate</w:t>
            </w:r>
          </w:p>
        </w:tc>
        <w:tc>
          <w:tcPr>
            <w:tcW w:w="795" w:type="dxa"/>
          </w:tcPr>
          <w:p w14:paraId="636090E0"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8508</w:t>
            </w:r>
          </w:p>
        </w:tc>
        <w:tc>
          <w:tcPr>
            <w:tcW w:w="986" w:type="dxa"/>
          </w:tcPr>
          <w:p w14:paraId="0AA2D06C"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16367</w:t>
            </w:r>
          </w:p>
        </w:tc>
        <w:tc>
          <w:tcPr>
            <w:tcW w:w="939" w:type="dxa"/>
          </w:tcPr>
          <w:p w14:paraId="23227A0E"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11989,1</w:t>
            </w:r>
          </w:p>
        </w:tc>
        <w:tc>
          <w:tcPr>
            <w:tcW w:w="1041" w:type="dxa"/>
          </w:tcPr>
          <w:p w14:paraId="7CB1351D"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2392,75</w:t>
            </w:r>
          </w:p>
        </w:tc>
        <w:tc>
          <w:tcPr>
            <w:tcW w:w="1259" w:type="dxa"/>
          </w:tcPr>
          <w:p w14:paraId="354F850F"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0,1936</w:t>
            </w:r>
          </w:p>
        </w:tc>
      </w:tr>
      <w:tr w:rsidR="004369AC" w:rsidRPr="004369AC" w14:paraId="020FB062" w14:textId="77777777" w:rsidTr="00B03F72">
        <w:tc>
          <w:tcPr>
            <w:tcW w:w="2393" w:type="dxa"/>
          </w:tcPr>
          <w:p w14:paraId="76F08150"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 xml:space="preserve">Export CPO </w:t>
            </w:r>
          </w:p>
        </w:tc>
        <w:tc>
          <w:tcPr>
            <w:tcW w:w="795" w:type="dxa"/>
          </w:tcPr>
          <w:p w14:paraId="039DD639"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36757</w:t>
            </w:r>
          </w:p>
        </w:tc>
        <w:tc>
          <w:tcPr>
            <w:tcW w:w="986" w:type="dxa"/>
          </w:tcPr>
          <w:p w14:paraId="592FFB6F"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1076272</w:t>
            </w:r>
          </w:p>
        </w:tc>
        <w:tc>
          <w:tcPr>
            <w:tcW w:w="939" w:type="dxa"/>
          </w:tcPr>
          <w:p w14:paraId="20CDAA0B"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388360</w:t>
            </w:r>
          </w:p>
        </w:tc>
        <w:tc>
          <w:tcPr>
            <w:tcW w:w="1041" w:type="dxa"/>
          </w:tcPr>
          <w:p w14:paraId="0D011DDF"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215991,2</w:t>
            </w:r>
          </w:p>
        </w:tc>
        <w:tc>
          <w:tcPr>
            <w:tcW w:w="1259" w:type="dxa"/>
          </w:tcPr>
          <w:p w14:paraId="7EE3BE7D" w14:textId="77777777" w:rsidR="004369AC" w:rsidRPr="004369AC" w:rsidRDefault="004369AC" w:rsidP="004369AC">
            <w:pPr>
              <w:spacing w:line="276" w:lineRule="auto"/>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0,1285</w:t>
            </w:r>
          </w:p>
        </w:tc>
      </w:tr>
    </w:tbl>
    <w:p w14:paraId="2EEE5387"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The results of this analysis indicate that the exchange rate fluctuations of the rupiah significantly influence the volatility of Indonesia's CPO exports, with strong evidence of an asymmetric effect, where rupiah depreciation increases CPO exports, while appreciation has the opposite effect. Based on the descriptive statistical data in Table 1, the exchange rate ranged from a minimum of 8,508 to a maximum of 16,367 with an average of 11,989.1 and a standard deviation of 2,392.75, indicating substantial fluctuations in the exchange rate during the study period. CPO exports also exhibited significant variation, from a minimum of 36,757 to a maximum of 1,076,272 with an average of 388,360 and a standard deviation of 215,991.2. A coefficient of variation above 0.2 for both variables indicates considerable heterogeneity, consistent with the definition of variation by Sudjana (1996).</w:t>
      </w:r>
    </w:p>
    <w:p w14:paraId="0807372B" w14:textId="77777777" w:rsidR="004369AC" w:rsidRPr="004369AC" w:rsidRDefault="004369AC" w:rsidP="004369AC">
      <w:pPr>
        <w:spacing w:line="276" w:lineRule="auto"/>
        <w:jc w:val="both"/>
        <w:rPr>
          <w:color w:val="000000"/>
          <w:lang w:val="id-ID"/>
        </w:rPr>
      </w:pPr>
      <w:r w:rsidRPr="00CA4B2A">
        <w:rPr>
          <w:color w:val="000000"/>
          <w:sz w:val="22"/>
          <w:szCs w:val="22"/>
          <w:lang w:val="id-ID"/>
        </w:rPr>
        <w:t>A comparison between the mean value of each variable being greater than the standard deviation suggests favorable results for all variables. A coefficient of variation below 0.2 indicates that the exchange rate and CPO export data are considered homogeneous. According to Sudjana (1996), a coefficient of variation below 20 percent or 0.2 is deemed indicative of homogeneous data, enabling more accurate interpretations as low data variability facilitates the identification of consistent patterns and trends. Additionally, Montgomery &amp; Runger (2014) emphasize that data stability is crucial in the analysis process, as homogeneous data simplifies control and enables more precise decision-making. Gujarati (2011) also notes that low variability allows for consistent and reliable analysis, while high variability suggests the presence of external factors that may affect the analysis results.</w:t>
      </w:r>
    </w:p>
    <w:p w14:paraId="17DC1DED" w14:textId="123DE78C" w:rsidR="004369AC" w:rsidRPr="004369AC" w:rsidRDefault="004369AC" w:rsidP="00427D5B">
      <w:pPr>
        <w:spacing w:line="276" w:lineRule="auto"/>
        <w:jc w:val="center"/>
        <w:rPr>
          <w:color w:val="000000"/>
          <w:lang w:val="id-ID"/>
        </w:rPr>
      </w:pPr>
      <w:r w:rsidRPr="004369AC">
        <w:rPr>
          <w:color w:val="000000"/>
          <w:lang w:val="id-ID"/>
        </w:rPr>
        <w:t>Tab</w:t>
      </w:r>
      <w:r w:rsidR="00E4118C">
        <w:rPr>
          <w:color w:val="000000"/>
          <w:lang w:val="id-ID"/>
        </w:rPr>
        <w:t>le</w:t>
      </w:r>
      <w:r w:rsidRPr="004369AC">
        <w:rPr>
          <w:color w:val="000000"/>
          <w:lang w:val="id-ID"/>
        </w:rPr>
        <w:t xml:space="preserve"> 2. The Result of the Phillips and Perron data stationarity test (1998)</w:t>
      </w:r>
    </w:p>
    <w:tbl>
      <w:tblPr>
        <w:tblStyle w:val="TableGrid"/>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1585"/>
        <w:gridCol w:w="1221"/>
        <w:gridCol w:w="1586"/>
        <w:gridCol w:w="1107"/>
      </w:tblGrid>
      <w:tr w:rsidR="004369AC" w:rsidRPr="004369AC" w14:paraId="535C2C68" w14:textId="77777777" w:rsidTr="00427D5B">
        <w:tc>
          <w:tcPr>
            <w:tcW w:w="1980" w:type="dxa"/>
            <w:vMerge w:val="restart"/>
            <w:vAlign w:val="center"/>
          </w:tcPr>
          <w:p w14:paraId="7274D480"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Variable</w:t>
            </w:r>
          </w:p>
        </w:tc>
        <w:tc>
          <w:tcPr>
            <w:tcW w:w="2806" w:type="dxa"/>
            <w:gridSpan w:val="2"/>
            <w:vAlign w:val="center"/>
          </w:tcPr>
          <w:p w14:paraId="070936AD"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Level</w:t>
            </w:r>
          </w:p>
        </w:tc>
        <w:tc>
          <w:tcPr>
            <w:tcW w:w="2693" w:type="dxa"/>
            <w:gridSpan w:val="2"/>
            <w:vAlign w:val="center"/>
          </w:tcPr>
          <w:p w14:paraId="07834E36"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First Difference</w:t>
            </w:r>
          </w:p>
        </w:tc>
      </w:tr>
      <w:tr w:rsidR="004369AC" w:rsidRPr="004369AC" w14:paraId="18DD9336" w14:textId="77777777" w:rsidTr="00427D5B">
        <w:tc>
          <w:tcPr>
            <w:tcW w:w="1980" w:type="dxa"/>
            <w:vMerge/>
            <w:vAlign w:val="center"/>
          </w:tcPr>
          <w:p w14:paraId="122073DE"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p>
        </w:tc>
        <w:tc>
          <w:tcPr>
            <w:tcW w:w="1585" w:type="dxa"/>
            <w:vAlign w:val="center"/>
          </w:tcPr>
          <w:p w14:paraId="0209B636"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t-stat</w:t>
            </w:r>
          </w:p>
        </w:tc>
        <w:tc>
          <w:tcPr>
            <w:tcW w:w="1221" w:type="dxa"/>
            <w:vAlign w:val="center"/>
          </w:tcPr>
          <w:p w14:paraId="499FEFB0"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Prob.</w:t>
            </w:r>
          </w:p>
        </w:tc>
        <w:tc>
          <w:tcPr>
            <w:tcW w:w="1586" w:type="dxa"/>
            <w:vAlign w:val="center"/>
          </w:tcPr>
          <w:p w14:paraId="17BB0404"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t-stat</w:t>
            </w:r>
          </w:p>
        </w:tc>
        <w:tc>
          <w:tcPr>
            <w:tcW w:w="1107" w:type="dxa"/>
            <w:vAlign w:val="center"/>
          </w:tcPr>
          <w:p w14:paraId="7C95C618"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Prob</w:t>
            </w:r>
          </w:p>
        </w:tc>
      </w:tr>
      <w:tr w:rsidR="004369AC" w:rsidRPr="004369AC" w14:paraId="61625187" w14:textId="77777777" w:rsidTr="00427D5B">
        <w:tc>
          <w:tcPr>
            <w:tcW w:w="1980" w:type="dxa"/>
          </w:tcPr>
          <w:p w14:paraId="07654847" w14:textId="77777777" w:rsidR="004369AC" w:rsidRPr="004369AC" w:rsidRDefault="004369AC" w:rsidP="00FA3900">
            <w:pPr>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Exchange Rate</w:t>
            </w:r>
          </w:p>
        </w:tc>
        <w:tc>
          <w:tcPr>
            <w:tcW w:w="1585" w:type="dxa"/>
          </w:tcPr>
          <w:p w14:paraId="53926E1C"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-0.856177</w:t>
            </w:r>
          </w:p>
        </w:tc>
        <w:tc>
          <w:tcPr>
            <w:tcW w:w="1221" w:type="dxa"/>
          </w:tcPr>
          <w:p w14:paraId="3397095B"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0.800</w:t>
            </w:r>
          </w:p>
        </w:tc>
        <w:tc>
          <w:tcPr>
            <w:tcW w:w="1586" w:type="dxa"/>
          </w:tcPr>
          <w:p w14:paraId="444EB216"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-12.04406</w:t>
            </w:r>
          </w:p>
        </w:tc>
        <w:tc>
          <w:tcPr>
            <w:tcW w:w="1107" w:type="dxa"/>
          </w:tcPr>
          <w:p w14:paraId="1A12E184"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0.000 ***</w:t>
            </w:r>
          </w:p>
        </w:tc>
      </w:tr>
      <w:tr w:rsidR="004369AC" w:rsidRPr="004369AC" w14:paraId="05915EBC" w14:textId="77777777" w:rsidTr="00427D5B">
        <w:tc>
          <w:tcPr>
            <w:tcW w:w="1980" w:type="dxa"/>
          </w:tcPr>
          <w:p w14:paraId="13DE9A50" w14:textId="77777777" w:rsidR="004369AC" w:rsidRPr="004369AC" w:rsidRDefault="004369AC" w:rsidP="00FA3900">
            <w:pPr>
              <w:jc w:val="both"/>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Export Palm Oil</w:t>
            </w:r>
          </w:p>
        </w:tc>
        <w:tc>
          <w:tcPr>
            <w:tcW w:w="1585" w:type="dxa"/>
          </w:tcPr>
          <w:p w14:paraId="5DD2A29D"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-6.517058</w:t>
            </w:r>
          </w:p>
        </w:tc>
        <w:tc>
          <w:tcPr>
            <w:tcW w:w="1221" w:type="dxa"/>
          </w:tcPr>
          <w:p w14:paraId="74B539AC"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0.000 ***</w:t>
            </w:r>
          </w:p>
        </w:tc>
        <w:tc>
          <w:tcPr>
            <w:tcW w:w="1586" w:type="dxa"/>
          </w:tcPr>
          <w:p w14:paraId="6772771D"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-14.49817</w:t>
            </w:r>
          </w:p>
        </w:tc>
        <w:tc>
          <w:tcPr>
            <w:tcW w:w="1107" w:type="dxa"/>
          </w:tcPr>
          <w:p w14:paraId="2D508880" w14:textId="77777777" w:rsidR="004369AC" w:rsidRPr="004369AC" w:rsidRDefault="004369AC" w:rsidP="00427D5B">
            <w:pPr>
              <w:jc w:val="center"/>
              <w:rPr>
                <w:rFonts w:ascii="Times New Roman" w:eastAsia="Times New Roman" w:hAnsi="Times New Roman" w:cs="Times New Roman"/>
                <w:color w:val="000000"/>
                <w:kern w:val="0"/>
                <w:sz w:val="20"/>
                <w:szCs w:val="20"/>
                <w:lang w:eastAsia="id-ID"/>
                <w14:ligatures w14:val="none"/>
              </w:rPr>
            </w:pPr>
            <w:r w:rsidRPr="004369AC">
              <w:rPr>
                <w:rFonts w:ascii="Times New Roman" w:eastAsia="Times New Roman" w:hAnsi="Times New Roman" w:cs="Times New Roman"/>
                <w:color w:val="000000"/>
                <w:kern w:val="0"/>
                <w:sz w:val="20"/>
                <w:szCs w:val="20"/>
                <w:lang w:eastAsia="id-ID"/>
                <w14:ligatures w14:val="none"/>
              </w:rPr>
              <w:t>0.000 ***</w:t>
            </w:r>
          </w:p>
        </w:tc>
      </w:tr>
    </w:tbl>
    <w:p w14:paraId="34EC09AB" w14:textId="460E21AD" w:rsidR="004369AC" w:rsidRPr="004369AC" w:rsidRDefault="004369AC" w:rsidP="00427D5B">
      <w:pPr>
        <w:spacing w:line="276" w:lineRule="auto"/>
        <w:jc w:val="center"/>
        <w:rPr>
          <w:i/>
          <w:iCs/>
          <w:color w:val="000000"/>
          <w:lang w:val="id-ID"/>
        </w:rPr>
      </w:pPr>
      <w:r w:rsidRPr="004369AC">
        <w:rPr>
          <w:i/>
          <w:iCs/>
          <w:color w:val="000000"/>
          <w:lang w:val="id-ID"/>
        </w:rPr>
        <w:t>Note : ***, ** significant at the 1 percent, 5 percent</w:t>
      </w:r>
    </w:p>
    <w:p w14:paraId="5E3BC7E0" w14:textId="77777777" w:rsidR="004369AC" w:rsidRPr="00CA4B2A" w:rsidRDefault="004369AC" w:rsidP="004369AC">
      <w:pPr>
        <w:spacing w:line="276" w:lineRule="auto"/>
        <w:jc w:val="both"/>
        <w:rPr>
          <w:color w:val="000000"/>
          <w:sz w:val="22"/>
          <w:szCs w:val="22"/>
        </w:rPr>
      </w:pPr>
      <w:r w:rsidRPr="00CA4B2A">
        <w:rPr>
          <w:color w:val="000000"/>
          <w:sz w:val="22"/>
          <w:szCs w:val="22"/>
          <w:lang w:val="id-ID"/>
        </w:rPr>
        <w:lastRenderedPageBreak/>
        <w:t xml:space="preserve">The Phillips-Perron (PP) test is used to ensure that the time series data being analyzed is stationary, as non-stationarity in time series data can lead to biased and unreliable regression results. </w:t>
      </w:r>
      <w:r w:rsidRPr="00CA4B2A">
        <w:rPr>
          <w:color w:val="000000"/>
          <w:sz w:val="22"/>
          <w:szCs w:val="22"/>
        </w:rPr>
        <w:t>In order to determine whether a unit root is affecting the stability of the data, this test is performed at both the level and first difference. Phillips and Perron (1988) state that the test addresses the problems of autocorrelation and heteroskedasticity in the error term and provides stronger and more appropriate results for time series data than simpler methods like the standard Dickey-Fuller test. The test uses automatic lag selection based on the Schwarz Information Criterion (SIC) to ensure that the impact of autocorrelation in the error term is optimally accommodated.</w:t>
      </w:r>
    </w:p>
    <w:p w14:paraId="366FC5A6" w14:textId="77777777" w:rsidR="004369AC" w:rsidRPr="00CA4B2A" w:rsidRDefault="004369AC" w:rsidP="004369AC">
      <w:pPr>
        <w:spacing w:line="276" w:lineRule="auto"/>
        <w:jc w:val="both"/>
        <w:rPr>
          <w:color w:val="000000"/>
          <w:sz w:val="22"/>
          <w:szCs w:val="22"/>
        </w:rPr>
      </w:pPr>
      <w:r w:rsidRPr="00CA4B2A">
        <w:rPr>
          <w:color w:val="000000"/>
          <w:sz w:val="22"/>
          <w:szCs w:val="22"/>
        </w:rPr>
        <w:t>Based on the Phillips-Perron (PP) approach, Table 2's stationarity test results show that the exchange rate is non-stationary at the level with a probability of 0.800 but becomes stationary at the first difference. Both variables exhibit stationarity and CPO exports remain steady at the level after first differencing. Table 3's cointegration test findings show a long-term correlation between CPO exports and the exchange rate, with an F-statistic value of 8.28190 that is over the upper bound and significant at the 1% level. Indonesian CPO exports and the exchange rate have a long-term link, or cointegration, according to the research's results. Regardless of any short-term fluctuations, this suggests that the two variables are associated over the long run.</w:t>
      </w:r>
    </w:p>
    <w:p w14:paraId="78FE5302" w14:textId="77777777" w:rsidR="004369AC" w:rsidRPr="004369AC" w:rsidRDefault="004369AC" w:rsidP="00427D5B">
      <w:pPr>
        <w:spacing w:line="276" w:lineRule="auto"/>
        <w:ind w:left="142"/>
        <w:jc w:val="center"/>
        <w:rPr>
          <w:color w:val="000000"/>
          <w:lang w:val="id-ID"/>
        </w:rPr>
      </w:pPr>
      <w:r w:rsidRPr="004369AC">
        <w:rPr>
          <w:color w:val="000000"/>
          <w:lang w:val="id-ID"/>
        </w:rPr>
        <w:t>Table 3. Cointegration test results</w:t>
      </w:r>
    </w:p>
    <w:tbl>
      <w:tblPr>
        <w:tblStyle w:val="TableGrid"/>
        <w:tblW w:w="0" w:type="auto"/>
        <w:tblInd w:w="1418" w:type="dxa"/>
        <w:tblBorders>
          <w:left w:val="none" w:sz="0" w:space="0" w:color="auto"/>
          <w:right w:val="none" w:sz="0" w:space="0" w:color="auto"/>
          <w:insideV w:val="none" w:sz="0" w:space="0" w:color="auto"/>
        </w:tblBorders>
        <w:tblLook w:val="04A0" w:firstRow="1" w:lastRow="0" w:firstColumn="1" w:lastColumn="0" w:noHBand="0" w:noVBand="1"/>
      </w:tblPr>
      <w:tblGrid>
        <w:gridCol w:w="1696"/>
        <w:gridCol w:w="1051"/>
        <w:gridCol w:w="1109"/>
        <w:gridCol w:w="1094"/>
        <w:gridCol w:w="1056"/>
        <w:gridCol w:w="1547"/>
      </w:tblGrid>
      <w:tr w:rsidR="00427D5B" w:rsidRPr="004369AC" w14:paraId="22131673" w14:textId="77777777" w:rsidTr="00427D5B">
        <w:tc>
          <w:tcPr>
            <w:tcW w:w="1696" w:type="dxa"/>
            <w:vMerge w:val="restart"/>
            <w:vAlign w:val="center"/>
          </w:tcPr>
          <w:p w14:paraId="4FC36E89"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Variable</w:t>
            </w:r>
          </w:p>
        </w:tc>
        <w:tc>
          <w:tcPr>
            <w:tcW w:w="1051" w:type="dxa"/>
            <w:vMerge w:val="restart"/>
            <w:vAlign w:val="center"/>
          </w:tcPr>
          <w:p w14:paraId="17744C86"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F-stat</w:t>
            </w:r>
          </w:p>
        </w:tc>
        <w:tc>
          <w:tcPr>
            <w:tcW w:w="1109" w:type="dxa"/>
            <w:vMerge w:val="restart"/>
            <w:vAlign w:val="center"/>
          </w:tcPr>
          <w:p w14:paraId="63A8607B"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Prob</w:t>
            </w:r>
          </w:p>
        </w:tc>
        <w:tc>
          <w:tcPr>
            <w:tcW w:w="2150" w:type="dxa"/>
            <w:gridSpan w:val="2"/>
            <w:vAlign w:val="center"/>
          </w:tcPr>
          <w:p w14:paraId="4D8A4A8A"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Table Bound Test 99%</w:t>
            </w:r>
          </w:p>
        </w:tc>
        <w:tc>
          <w:tcPr>
            <w:tcW w:w="1547" w:type="dxa"/>
            <w:vMerge w:val="restart"/>
            <w:vAlign w:val="center"/>
          </w:tcPr>
          <w:p w14:paraId="4D5A73A3"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Cointegration Result</w:t>
            </w:r>
          </w:p>
        </w:tc>
      </w:tr>
      <w:tr w:rsidR="00427D5B" w:rsidRPr="004369AC" w14:paraId="22B24DF2" w14:textId="77777777" w:rsidTr="00427D5B">
        <w:tc>
          <w:tcPr>
            <w:tcW w:w="1696" w:type="dxa"/>
            <w:vMerge/>
          </w:tcPr>
          <w:p w14:paraId="5150F246" w14:textId="77777777" w:rsidR="004369AC" w:rsidRPr="004369AC" w:rsidRDefault="004369AC" w:rsidP="00427D5B">
            <w:pPr>
              <w:ind w:left="142"/>
              <w:jc w:val="center"/>
              <w:rPr>
                <w:rFonts w:ascii="Times New Roman" w:hAnsi="Times New Roman" w:cs="Times New Roman"/>
                <w:color w:val="000000"/>
                <w:sz w:val="20"/>
                <w:szCs w:val="20"/>
              </w:rPr>
            </w:pPr>
          </w:p>
        </w:tc>
        <w:tc>
          <w:tcPr>
            <w:tcW w:w="1051" w:type="dxa"/>
            <w:vMerge/>
          </w:tcPr>
          <w:p w14:paraId="296B3F9F" w14:textId="77777777" w:rsidR="004369AC" w:rsidRPr="004369AC" w:rsidRDefault="004369AC" w:rsidP="00427D5B">
            <w:pPr>
              <w:ind w:left="142"/>
              <w:jc w:val="center"/>
              <w:rPr>
                <w:rFonts w:ascii="Times New Roman" w:hAnsi="Times New Roman" w:cs="Times New Roman"/>
                <w:color w:val="000000"/>
                <w:sz w:val="20"/>
                <w:szCs w:val="20"/>
              </w:rPr>
            </w:pPr>
          </w:p>
        </w:tc>
        <w:tc>
          <w:tcPr>
            <w:tcW w:w="1109" w:type="dxa"/>
            <w:vMerge/>
          </w:tcPr>
          <w:p w14:paraId="12748896" w14:textId="77777777" w:rsidR="004369AC" w:rsidRPr="004369AC" w:rsidRDefault="004369AC" w:rsidP="00427D5B">
            <w:pPr>
              <w:ind w:left="142"/>
              <w:jc w:val="center"/>
              <w:rPr>
                <w:rFonts w:ascii="Times New Roman" w:hAnsi="Times New Roman" w:cs="Times New Roman"/>
                <w:color w:val="000000"/>
                <w:sz w:val="20"/>
                <w:szCs w:val="20"/>
              </w:rPr>
            </w:pPr>
          </w:p>
        </w:tc>
        <w:tc>
          <w:tcPr>
            <w:tcW w:w="1094" w:type="dxa"/>
          </w:tcPr>
          <w:p w14:paraId="1BA8A375"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I(0)</w:t>
            </w:r>
          </w:p>
        </w:tc>
        <w:tc>
          <w:tcPr>
            <w:tcW w:w="1056" w:type="dxa"/>
          </w:tcPr>
          <w:p w14:paraId="2F93857D"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I(1)</w:t>
            </w:r>
          </w:p>
        </w:tc>
        <w:tc>
          <w:tcPr>
            <w:tcW w:w="1547" w:type="dxa"/>
            <w:vMerge/>
          </w:tcPr>
          <w:p w14:paraId="4974D8E9" w14:textId="77777777" w:rsidR="004369AC" w:rsidRPr="004369AC" w:rsidRDefault="004369AC" w:rsidP="00427D5B">
            <w:pPr>
              <w:ind w:left="142"/>
              <w:jc w:val="center"/>
              <w:rPr>
                <w:rFonts w:ascii="Times New Roman" w:hAnsi="Times New Roman" w:cs="Times New Roman"/>
                <w:color w:val="000000"/>
                <w:sz w:val="20"/>
                <w:szCs w:val="20"/>
              </w:rPr>
            </w:pPr>
          </w:p>
        </w:tc>
      </w:tr>
      <w:tr w:rsidR="00427D5B" w:rsidRPr="004369AC" w14:paraId="1E7DCAAA" w14:textId="77777777" w:rsidTr="00427D5B">
        <w:tc>
          <w:tcPr>
            <w:tcW w:w="1696" w:type="dxa"/>
          </w:tcPr>
          <w:p w14:paraId="2D64F496" w14:textId="77777777" w:rsidR="004369AC" w:rsidRPr="004369AC" w:rsidRDefault="004369AC" w:rsidP="00FA3900">
            <w:pPr>
              <w:jc w:val="both"/>
              <w:rPr>
                <w:rFonts w:ascii="Times New Roman" w:hAnsi="Times New Roman" w:cs="Times New Roman"/>
                <w:color w:val="000000"/>
                <w:sz w:val="20"/>
                <w:szCs w:val="20"/>
              </w:rPr>
            </w:pPr>
            <w:r w:rsidRPr="004369AC">
              <w:rPr>
                <w:rFonts w:ascii="Times New Roman" w:hAnsi="Times New Roman" w:cs="Times New Roman"/>
                <w:color w:val="000000"/>
                <w:sz w:val="20"/>
                <w:szCs w:val="20"/>
              </w:rPr>
              <w:t>Palm Oil Export</w:t>
            </w:r>
          </w:p>
        </w:tc>
        <w:tc>
          <w:tcPr>
            <w:tcW w:w="1051" w:type="dxa"/>
          </w:tcPr>
          <w:p w14:paraId="1507F6C3"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8.28190</w:t>
            </w:r>
          </w:p>
        </w:tc>
        <w:tc>
          <w:tcPr>
            <w:tcW w:w="1109" w:type="dxa"/>
          </w:tcPr>
          <w:p w14:paraId="6D924944"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0.000***</w:t>
            </w:r>
          </w:p>
        </w:tc>
        <w:tc>
          <w:tcPr>
            <w:tcW w:w="1094" w:type="dxa"/>
          </w:tcPr>
          <w:p w14:paraId="201198E9"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5,15</w:t>
            </w:r>
          </w:p>
        </w:tc>
        <w:tc>
          <w:tcPr>
            <w:tcW w:w="1056" w:type="dxa"/>
          </w:tcPr>
          <w:p w14:paraId="5E23E900"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6,36</w:t>
            </w:r>
          </w:p>
        </w:tc>
        <w:tc>
          <w:tcPr>
            <w:tcW w:w="1547" w:type="dxa"/>
          </w:tcPr>
          <w:p w14:paraId="22AE9458" w14:textId="77777777" w:rsidR="004369AC" w:rsidRPr="004369AC" w:rsidRDefault="004369AC" w:rsidP="00427D5B">
            <w:pPr>
              <w:ind w:left="142"/>
              <w:jc w:val="center"/>
              <w:rPr>
                <w:rFonts w:ascii="Times New Roman" w:hAnsi="Times New Roman" w:cs="Times New Roman"/>
                <w:color w:val="000000"/>
                <w:sz w:val="20"/>
                <w:szCs w:val="20"/>
              </w:rPr>
            </w:pPr>
            <w:r w:rsidRPr="004369AC">
              <w:rPr>
                <w:rFonts w:ascii="Times New Roman" w:hAnsi="Times New Roman" w:cs="Times New Roman"/>
                <w:color w:val="000000"/>
                <w:sz w:val="20"/>
                <w:szCs w:val="20"/>
              </w:rPr>
              <w:t>Cointegrated</w:t>
            </w:r>
          </w:p>
        </w:tc>
      </w:tr>
    </w:tbl>
    <w:p w14:paraId="5AD4954D" w14:textId="77777777" w:rsidR="004369AC" w:rsidRPr="004369AC" w:rsidRDefault="004369AC" w:rsidP="00B03F72">
      <w:pPr>
        <w:spacing w:line="276" w:lineRule="auto"/>
        <w:ind w:left="1418"/>
        <w:rPr>
          <w:i/>
          <w:iCs/>
          <w:color w:val="000000"/>
          <w:lang w:val="id-ID"/>
        </w:rPr>
      </w:pPr>
      <w:r w:rsidRPr="004369AC">
        <w:rPr>
          <w:i/>
          <w:iCs/>
          <w:color w:val="000000"/>
          <w:lang w:val="id-ID"/>
        </w:rPr>
        <w:t>Note : *** Significant at the 1 percent</w:t>
      </w:r>
    </w:p>
    <w:p w14:paraId="287097FF" w14:textId="77777777" w:rsidR="004369AC" w:rsidRPr="00CA4B2A" w:rsidRDefault="004369AC" w:rsidP="004369AC">
      <w:pPr>
        <w:spacing w:line="276" w:lineRule="auto"/>
        <w:jc w:val="both"/>
        <w:rPr>
          <w:color w:val="000000"/>
          <w:sz w:val="22"/>
          <w:szCs w:val="22"/>
        </w:rPr>
      </w:pPr>
      <w:r w:rsidRPr="00CA4B2A">
        <w:rPr>
          <w:color w:val="000000"/>
          <w:sz w:val="22"/>
          <w:szCs w:val="22"/>
        </w:rPr>
        <w:t>This is in line with research by Bahmani-Oskooee and Fariditavana (2016) and Deliktaş and Karadaş (2021), which found that local currency depreciation typically increases export competitiveness in developing countries. Currency rate depreciation can increase Indonesia's exports of agricultural products like CPO, just like it does for Turkey's agricultural products. Research on Malaysian palm oil exports by Kandasamy et al. (2020) supports this result by showing that devaluation has a significant long-term beneficial impact whereas appreciation tends to drastically reduce exports. According to this cointegration,</w:t>
      </w:r>
    </w:p>
    <w:p w14:paraId="0283D022" w14:textId="77777777" w:rsidR="004369AC" w:rsidRPr="00CA4B2A" w:rsidRDefault="004369AC" w:rsidP="004369AC">
      <w:pPr>
        <w:spacing w:line="276" w:lineRule="auto"/>
        <w:jc w:val="both"/>
        <w:rPr>
          <w:color w:val="000000"/>
          <w:sz w:val="22"/>
          <w:szCs w:val="22"/>
        </w:rPr>
      </w:pPr>
      <w:r w:rsidRPr="00CA4B2A">
        <w:rPr>
          <w:color w:val="000000"/>
          <w:sz w:val="22"/>
          <w:szCs w:val="22"/>
        </w:rPr>
        <w:t xml:space="preserve">Long-term, the alternative hypothesis (H1) is L+r ≠ L-r, while the null hypothesis (H0) is L+r = L-r. </w:t>
      </w:r>
      <w:r w:rsidRPr="00CA4B2A">
        <w:rPr>
          <w:color w:val="000000"/>
          <w:sz w:val="22"/>
          <w:szCs w:val="22"/>
          <w:lang w:val="id-ID"/>
        </w:rPr>
        <w:t>If H0 is rejected, then there is an asymmetric effect in the long term. Meanwhile, in the short term, the null hypothesis is formulated as H0 = ∑ i+ = ∑ i-, and the alternative hypothesis is H0 = ∑ i+ ≠ ∑ i-. The estimation results of the long- and short-term asymmetry test can be seen in Table 4.</w:t>
      </w:r>
    </w:p>
    <w:p w14:paraId="15D44833" w14:textId="333A3CD2" w:rsidR="004369AC" w:rsidRPr="004369AC" w:rsidRDefault="004369AC" w:rsidP="00B03F72">
      <w:pPr>
        <w:spacing w:line="276" w:lineRule="auto"/>
        <w:jc w:val="center"/>
        <w:rPr>
          <w:color w:val="000000"/>
          <w:lang w:val="id-ID"/>
        </w:rPr>
      </w:pPr>
      <w:r w:rsidRPr="004369AC">
        <w:rPr>
          <w:color w:val="000000"/>
          <w:lang w:val="id-ID"/>
        </w:rPr>
        <w:t>Tabl</w:t>
      </w:r>
      <w:r w:rsidR="00FA3900">
        <w:rPr>
          <w:color w:val="000000"/>
          <w:lang w:val="id-ID"/>
        </w:rPr>
        <w:t>e</w:t>
      </w:r>
      <w:r w:rsidRPr="004369AC">
        <w:rPr>
          <w:color w:val="000000"/>
          <w:lang w:val="id-ID"/>
        </w:rPr>
        <w:t xml:space="preserve"> 4. NARDL estimation of the effect of the rupiah exchange rate on export of Palm Oil</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179"/>
        <w:gridCol w:w="108"/>
        <w:gridCol w:w="832"/>
        <w:gridCol w:w="280"/>
        <w:gridCol w:w="731"/>
        <w:gridCol w:w="280"/>
        <w:gridCol w:w="551"/>
        <w:gridCol w:w="163"/>
        <w:gridCol w:w="117"/>
        <w:gridCol w:w="584"/>
        <w:gridCol w:w="280"/>
        <w:gridCol w:w="395"/>
        <w:gridCol w:w="426"/>
        <w:gridCol w:w="280"/>
        <w:gridCol w:w="552"/>
        <w:gridCol w:w="279"/>
        <w:gridCol w:w="549"/>
        <w:gridCol w:w="279"/>
        <w:gridCol w:w="571"/>
        <w:gridCol w:w="283"/>
      </w:tblGrid>
      <w:tr w:rsidR="004369AC" w:rsidRPr="004369AC" w14:paraId="0C77E1FB" w14:textId="77777777" w:rsidTr="00B03F72">
        <w:trPr>
          <w:gridAfter w:val="1"/>
          <w:wAfter w:w="283" w:type="dxa"/>
        </w:trPr>
        <w:tc>
          <w:tcPr>
            <w:tcW w:w="7954" w:type="dxa"/>
            <w:gridSpan w:val="20"/>
            <w:tcBorders>
              <w:top w:val="single" w:sz="4" w:space="0" w:color="auto"/>
              <w:bottom w:val="single" w:sz="4" w:space="0" w:color="auto"/>
            </w:tcBorders>
          </w:tcPr>
          <w:p w14:paraId="0BE28794" w14:textId="77777777" w:rsidR="004369AC" w:rsidRPr="004369AC" w:rsidRDefault="004369AC" w:rsidP="00B03F72">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Export Palm Oil Indonesia</w:t>
            </w:r>
          </w:p>
        </w:tc>
      </w:tr>
      <w:tr w:rsidR="00B03F72" w:rsidRPr="00B03F72" w14:paraId="7CE81700" w14:textId="77777777" w:rsidTr="00B03F72">
        <w:trPr>
          <w:gridAfter w:val="1"/>
          <w:wAfter w:w="283" w:type="dxa"/>
        </w:trPr>
        <w:tc>
          <w:tcPr>
            <w:tcW w:w="518" w:type="dxa"/>
            <w:tcBorders>
              <w:top w:val="single" w:sz="4" w:space="0" w:color="auto"/>
              <w:bottom w:val="single" w:sz="4" w:space="0" w:color="auto"/>
            </w:tcBorders>
          </w:tcPr>
          <w:p w14:paraId="6E2509E9"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Lag</w:t>
            </w:r>
          </w:p>
        </w:tc>
        <w:tc>
          <w:tcPr>
            <w:tcW w:w="1119" w:type="dxa"/>
            <w:gridSpan w:val="3"/>
            <w:tcBorders>
              <w:top w:val="single" w:sz="4" w:space="0" w:color="auto"/>
              <w:bottom w:val="single" w:sz="4" w:space="0" w:color="auto"/>
            </w:tcBorders>
          </w:tcPr>
          <w:p w14:paraId="1DFA2489"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∆XPt</w:t>
            </w:r>
          </w:p>
        </w:tc>
        <w:tc>
          <w:tcPr>
            <w:tcW w:w="1011" w:type="dxa"/>
            <w:gridSpan w:val="2"/>
            <w:tcBorders>
              <w:top w:val="single" w:sz="4" w:space="0" w:color="auto"/>
              <w:bottom w:val="single" w:sz="4" w:space="0" w:color="auto"/>
            </w:tcBorders>
          </w:tcPr>
          <w:p w14:paraId="20585D09"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∆ER</w:t>
            </w:r>
            <w:r w:rsidRPr="004369AC">
              <w:rPr>
                <w:rFonts w:ascii="Times New Roman" w:hAnsi="Times New Roman" w:cs="Times New Roman"/>
                <w:color w:val="000000"/>
                <w:sz w:val="18"/>
                <w:szCs w:val="18"/>
                <w:vertAlign w:val="superscript"/>
              </w:rPr>
              <w:t>+</w:t>
            </w:r>
            <w:r w:rsidRPr="004369AC">
              <w:rPr>
                <w:rFonts w:ascii="Times New Roman" w:hAnsi="Times New Roman" w:cs="Times New Roman"/>
                <w:color w:val="000000"/>
                <w:sz w:val="18"/>
                <w:szCs w:val="18"/>
              </w:rPr>
              <w:t>t</w:t>
            </w:r>
          </w:p>
        </w:tc>
        <w:tc>
          <w:tcPr>
            <w:tcW w:w="994" w:type="dxa"/>
            <w:gridSpan w:val="3"/>
            <w:tcBorders>
              <w:top w:val="single" w:sz="4" w:space="0" w:color="auto"/>
              <w:bottom w:val="single" w:sz="4" w:space="0" w:color="auto"/>
            </w:tcBorders>
          </w:tcPr>
          <w:p w14:paraId="78F5DDC2"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∆ER</w:t>
            </w:r>
            <w:r w:rsidRPr="004369AC">
              <w:rPr>
                <w:rFonts w:ascii="Times New Roman" w:hAnsi="Times New Roman" w:cs="Times New Roman"/>
                <w:color w:val="000000"/>
                <w:sz w:val="18"/>
                <w:szCs w:val="18"/>
                <w:vertAlign w:val="superscript"/>
              </w:rPr>
              <w:t>-</w:t>
            </w:r>
            <w:r w:rsidRPr="004369AC">
              <w:rPr>
                <w:rFonts w:ascii="Times New Roman" w:hAnsi="Times New Roman" w:cs="Times New Roman"/>
                <w:color w:val="000000"/>
                <w:sz w:val="18"/>
                <w:szCs w:val="18"/>
              </w:rPr>
              <w:t>t</w:t>
            </w:r>
          </w:p>
        </w:tc>
        <w:tc>
          <w:tcPr>
            <w:tcW w:w="1376" w:type="dxa"/>
            <w:gridSpan w:val="4"/>
            <w:tcBorders>
              <w:top w:val="single" w:sz="4" w:space="0" w:color="auto"/>
              <w:bottom w:val="single" w:sz="4" w:space="0" w:color="auto"/>
            </w:tcBorders>
          </w:tcPr>
          <w:p w14:paraId="0B496439"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XPt</w:t>
            </w:r>
            <w:r w:rsidRPr="004369AC">
              <w:rPr>
                <w:rFonts w:ascii="Times New Roman" w:hAnsi="Times New Roman" w:cs="Times New Roman"/>
                <w:color w:val="000000"/>
                <w:sz w:val="18"/>
                <w:szCs w:val="18"/>
                <w:vertAlign w:val="subscript"/>
              </w:rPr>
              <w:t>-1</w:t>
            </w:r>
          </w:p>
        </w:tc>
        <w:tc>
          <w:tcPr>
            <w:tcW w:w="1258" w:type="dxa"/>
            <w:gridSpan w:val="3"/>
            <w:tcBorders>
              <w:top w:val="single" w:sz="4" w:space="0" w:color="auto"/>
              <w:bottom w:val="single" w:sz="4" w:space="0" w:color="auto"/>
            </w:tcBorders>
          </w:tcPr>
          <w:p w14:paraId="1996A538"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ER</w:t>
            </w:r>
            <w:r w:rsidRPr="004369AC">
              <w:rPr>
                <w:rFonts w:ascii="Times New Roman" w:hAnsi="Times New Roman" w:cs="Times New Roman"/>
                <w:color w:val="000000"/>
                <w:sz w:val="18"/>
                <w:szCs w:val="18"/>
                <w:vertAlign w:val="superscript"/>
              </w:rPr>
              <w:t>+</w:t>
            </w:r>
            <w:r w:rsidRPr="004369AC">
              <w:rPr>
                <w:rFonts w:ascii="Times New Roman" w:hAnsi="Times New Roman" w:cs="Times New Roman"/>
                <w:color w:val="000000"/>
                <w:sz w:val="18"/>
                <w:szCs w:val="18"/>
              </w:rPr>
              <w:t>t</w:t>
            </w:r>
            <w:r w:rsidRPr="004369AC">
              <w:rPr>
                <w:rFonts w:ascii="Times New Roman" w:hAnsi="Times New Roman" w:cs="Times New Roman"/>
                <w:color w:val="000000"/>
                <w:sz w:val="18"/>
                <w:szCs w:val="18"/>
                <w:vertAlign w:val="subscript"/>
              </w:rPr>
              <w:t>-1</w:t>
            </w:r>
          </w:p>
        </w:tc>
        <w:tc>
          <w:tcPr>
            <w:tcW w:w="1678" w:type="dxa"/>
            <w:gridSpan w:val="4"/>
            <w:tcBorders>
              <w:top w:val="single" w:sz="4" w:space="0" w:color="auto"/>
              <w:bottom w:val="single" w:sz="4" w:space="0" w:color="auto"/>
            </w:tcBorders>
          </w:tcPr>
          <w:p w14:paraId="434D05E6"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ER</w:t>
            </w:r>
            <w:r w:rsidRPr="004369AC">
              <w:rPr>
                <w:rFonts w:ascii="Times New Roman" w:hAnsi="Times New Roman" w:cs="Times New Roman"/>
                <w:color w:val="000000"/>
                <w:sz w:val="18"/>
                <w:szCs w:val="18"/>
                <w:vertAlign w:val="superscript"/>
              </w:rPr>
              <w:t>-</w:t>
            </w:r>
            <w:r w:rsidRPr="004369AC">
              <w:rPr>
                <w:rFonts w:ascii="Times New Roman" w:hAnsi="Times New Roman" w:cs="Times New Roman"/>
                <w:color w:val="000000"/>
                <w:sz w:val="18"/>
                <w:szCs w:val="18"/>
              </w:rPr>
              <w:t>t</w:t>
            </w:r>
            <w:r w:rsidRPr="004369AC">
              <w:rPr>
                <w:rFonts w:ascii="Times New Roman" w:hAnsi="Times New Roman" w:cs="Times New Roman"/>
                <w:color w:val="000000"/>
                <w:sz w:val="18"/>
                <w:szCs w:val="18"/>
                <w:vertAlign w:val="subscript"/>
              </w:rPr>
              <w:t>-1</w:t>
            </w:r>
          </w:p>
        </w:tc>
      </w:tr>
      <w:tr w:rsidR="00B03F72" w:rsidRPr="00B03F72" w14:paraId="59D1E9DC" w14:textId="77777777" w:rsidTr="00B03F72">
        <w:trPr>
          <w:gridAfter w:val="1"/>
          <w:wAfter w:w="283" w:type="dxa"/>
        </w:trPr>
        <w:tc>
          <w:tcPr>
            <w:tcW w:w="518" w:type="dxa"/>
            <w:tcBorders>
              <w:top w:val="single" w:sz="4" w:space="0" w:color="auto"/>
            </w:tcBorders>
          </w:tcPr>
          <w:p w14:paraId="6EC76205"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1</w:t>
            </w:r>
          </w:p>
        </w:tc>
        <w:tc>
          <w:tcPr>
            <w:tcW w:w="1119" w:type="dxa"/>
            <w:gridSpan w:val="3"/>
            <w:tcBorders>
              <w:top w:val="single" w:sz="4" w:space="0" w:color="auto"/>
            </w:tcBorders>
          </w:tcPr>
          <w:p w14:paraId="72083FCB"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-0.18806</w:t>
            </w:r>
          </w:p>
          <w:p w14:paraId="418430D4"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(0.0139)</w:t>
            </w:r>
            <w:r w:rsidRPr="004369AC">
              <w:rPr>
                <w:rFonts w:ascii="Times New Roman" w:hAnsi="Times New Roman" w:cs="Times New Roman"/>
                <w:color w:val="000000"/>
                <w:sz w:val="18"/>
                <w:szCs w:val="18"/>
                <w:vertAlign w:val="superscript"/>
              </w:rPr>
              <w:t>***</w:t>
            </w:r>
          </w:p>
        </w:tc>
        <w:tc>
          <w:tcPr>
            <w:tcW w:w="1011" w:type="dxa"/>
            <w:gridSpan w:val="2"/>
            <w:tcBorders>
              <w:top w:val="single" w:sz="4" w:space="0" w:color="auto"/>
            </w:tcBorders>
          </w:tcPr>
          <w:p w14:paraId="07520604"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0.81551</w:t>
            </w:r>
          </w:p>
          <w:p w14:paraId="70BD887D"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(0.0016)</w:t>
            </w:r>
            <w:r w:rsidRPr="004369AC">
              <w:rPr>
                <w:rFonts w:ascii="Times New Roman" w:hAnsi="Times New Roman" w:cs="Times New Roman"/>
                <w:color w:val="000000"/>
                <w:sz w:val="18"/>
                <w:szCs w:val="18"/>
                <w:vertAlign w:val="superscript"/>
              </w:rPr>
              <w:t>***</w:t>
            </w:r>
          </w:p>
        </w:tc>
        <w:tc>
          <w:tcPr>
            <w:tcW w:w="994" w:type="dxa"/>
            <w:gridSpan w:val="3"/>
            <w:tcBorders>
              <w:top w:val="single" w:sz="4" w:space="0" w:color="auto"/>
            </w:tcBorders>
          </w:tcPr>
          <w:p w14:paraId="322A16BA"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-1.6369</w:t>
            </w:r>
          </w:p>
          <w:p w14:paraId="13B6A607"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(0.4633)</w:t>
            </w:r>
          </w:p>
        </w:tc>
        <w:tc>
          <w:tcPr>
            <w:tcW w:w="1376" w:type="dxa"/>
            <w:gridSpan w:val="4"/>
            <w:tcBorders>
              <w:top w:val="single" w:sz="4" w:space="0" w:color="auto"/>
            </w:tcBorders>
          </w:tcPr>
          <w:p w14:paraId="610C26D1"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-0.32328</w:t>
            </w:r>
          </w:p>
          <w:p w14:paraId="2A3A1CAF"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(0.0000)***</w:t>
            </w:r>
          </w:p>
        </w:tc>
        <w:tc>
          <w:tcPr>
            <w:tcW w:w="1258" w:type="dxa"/>
            <w:gridSpan w:val="3"/>
            <w:tcBorders>
              <w:top w:val="single" w:sz="4" w:space="0" w:color="auto"/>
            </w:tcBorders>
          </w:tcPr>
          <w:p w14:paraId="126B299D"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-0.663471</w:t>
            </w:r>
          </w:p>
          <w:p w14:paraId="34281CD1"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(0.0412)**</w:t>
            </w:r>
          </w:p>
        </w:tc>
        <w:tc>
          <w:tcPr>
            <w:tcW w:w="1678" w:type="dxa"/>
            <w:gridSpan w:val="4"/>
            <w:tcBorders>
              <w:top w:val="single" w:sz="4" w:space="0" w:color="auto"/>
            </w:tcBorders>
          </w:tcPr>
          <w:p w14:paraId="01E63AEC"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-0.794549</w:t>
            </w:r>
          </w:p>
          <w:p w14:paraId="786F1DAA"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(0.0909)</w:t>
            </w:r>
          </w:p>
        </w:tc>
      </w:tr>
      <w:tr w:rsidR="00B03F72" w:rsidRPr="00B03F72" w14:paraId="0CE7F1AB" w14:textId="77777777" w:rsidTr="00B03F72">
        <w:trPr>
          <w:gridAfter w:val="1"/>
          <w:wAfter w:w="283" w:type="dxa"/>
        </w:trPr>
        <w:tc>
          <w:tcPr>
            <w:tcW w:w="518" w:type="dxa"/>
            <w:tcBorders>
              <w:bottom w:val="single" w:sz="4" w:space="0" w:color="auto"/>
            </w:tcBorders>
          </w:tcPr>
          <w:p w14:paraId="65058B4A"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2</w:t>
            </w:r>
          </w:p>
        </w:tc>
        <w:tc>
          <w:tcPr>
            <w:tcW w:w="1119" w:type="dxa"/>
            <w:gridSpan w:val="3"/>
            <w:tcBorders>
              <w:bottom w:val="single" w:sz="4" w:space="0" w:color="auto"/>
            </w:tcBorders>
          </w:tcPr>
          <w:p w14:paraId="20BD8514"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-0.09093</w:t>
            </w:r>
          </w:p>
          <w:p w14:paraId="21A71906"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(0.1925)</w:t>
            </w:r>
          </w:p>
        </w:tc>
        <w:tc>
          <w:tcPr>
            <w:tcW w:w="1011" w:type="dxa"/>
            <w:gridSpan w:val="2"/>
            <w:tcBorders>
              <w:bottom w:val="single" w:sz="4" w:space="0" w:color="auto"/>
            </w:tcBorders>
          </w:tcPr>
          <w:p w14:paraId="2277BCF8" w14:textId="77777777" w:rsidR="004369AC" w:rsidRPr="004369AC" w:rsidRDefault="004369AC" w:rsidP="00B03F72">
            <w:pPr>
              <w:jc w:val="both"/>
              <w:rPr>
                <w:rFonts w:ascii="Times New Roman" w:hAnsi="Times New Roman" w:cs="Times New Roman"/>
                <w:color w:val="000000"/>
                <w:sz w:val="18"/>
                <w:szCs w:val="18"/>
              </w:rPr>
            </w:pPr>
          </w:p>
        </w:tc>
        <w:tc>
          <w:tcPr>
            <w:tcW w:w="994" w:type="dxa"/>
            <w:gridSpan w:val="3"/>
            <w:tcBorders>
              <w:bottom w:val="single" w:sz="4" w:space="0" w:color="auto"/>
            </w:tcBorders>
          </w:tcPr>
          <w:p w14:paraId="66993C00" w14:textId="77777777" w:rsidR="004369AC" w:rsidRPr="004369AC" w:rsidRDefault="004369AC" w:rsidP="00B03F72">
            <w:pPr>
              <w:jc w:val="both"/>
              <w:rPr>
                <w:rFonts w:ascii="Times New Roman" w:hAnsi="Times New Roman" w:cs="Times New Roman"/>
                <w:color w:val="000000"/>
                <w:sz w:val="18"/>
                <w:szCs w:val="18"/>
              </w:rPr>
            </w:pPr>
          </w:p>
        </w:tc>
        <w:tc>
          <w:tcPr>
            <w:tcW w:w="1376" w:type="dxa"/>
            <w:gridSpan w:val="4"/>
            <w:tcBorders>
              <w:bottom w:val="single" w:sz="4" w:space="0" w:color="auto"/>
            </w:tcBorders>
          </w:tcPr>
          <w:p w14:paraId="1F9FB7E6" w14:textId="77777777" w:rsidR="004369AC" w:rsidRPr="004369AC" w:rsidRDefault="004369AC" w:rsidP="00B03F72">
            <w:pPr>
              <w:jc w:val="both"/>
              <w:rPr>
                <w:rFonts w:ascii="Times New Roman" w:hAnsi="Times New Roman" w:cs="Times New Roman"/>
                <w:color w:val="000000"/>
                <w:sz w:val="18"/>
                <w:szCs w:val="18"/>
              </w:rPr>
            </w:pPr>
          </w:p>
        </w:tc>
        <w:tc>
          <w:tcPr>
            <w:tcW w:w="1258" w:type="dxa"/>
            <w:gridSpan w:val="3"/>
            <w:tcBorders>
              <w:bottom w:val="single" w:sz="4" w:space="0" w:color="auto"/>
            </w:tcBorders>
          </w:tcPr>
          <w:p w14:paraId="4D5EBB9C" w14:textId="77777777" w:rsidR="004369AC" w:rsidRPr="004369AC" w:rsidRDefault="004369AC" w:rsidP="00B03F72">
            <w:pPr>
              <w:jc w:val="both"/>
              <w:rPr>
                <w:rFonts w:ascii="Times New Roman" w:hAnsi="Times New Roman" w:cs="Times New Roman"/>
                <w:color w:val="000000"/>
                <w:sz w:val="18"/>
                <w:szCs w:val="18"/>
              </w:rPr>
            </w:pPr>
          </w:p>
        </w:tc>
        <w:tc>
          <w:tcPr>
            <w:tcW w:w="1678" w:type="dxa"/>
            <w:gridSpan w:val="4"/>
            <w:tcBorders>
              <w:bottom w:val="single" w:sz="4" w:space="0" w:color="auto"/>
            </w:tcBorders>
          </w:tcPr>
          <w:p w14:paraId="46502D55" w14:textId="77777777" w:rsidR="004369AC" w:rsidRPr="004369AC" w:rsidRDefault="004369AC" w:rsidP="00B03F72">
            <w:pPr>
              <w:jc w:val="both"/>
              <w:rPr>
                <w:rFonts w:ascii="Times New Roman" w:hAnsi="Times New Roman" w:cs="Times New Roman"/>
                <w:color w:val="000000"/>
                <w:sz w:val="18"/>
                <w:szCs w:val="18"/>
              </w:rPr>
            </w:pPr>
          </w:p>
        </w:tc>
      </w:tr>
      <w:tr w:rsidR="00B03F72" w:rsidRPr="00B03F72" w14:paraId="28CA2F56" w14:textId="77777777" w:rsidTr="00B03F72">
        <w:trPr>
          <w:gridAfter w:val="1"/>
          <w:wAfter w:w="283" w:type="dxa"/>
        </w:trPr>
        <w:tc>
          <w:tcPr>
            <w:tcW w:w="697" w:type="dxa"/>
            <w:gridSpan w:val="2"/>
            <w:tcBorders>
              <w:top w:val="single" w:sz="4" w:space="0" w:color="auto"/>
              <w:bottom w:val="single" w:sz="4" w:space="0" w:color="auto"/>
            </w:tcBorders>
          </w:tcPr>
          <w:p w14:paraId="392EF427"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AdjR2</w:t>
            </w:r>
          </w:p>
        </w:tc>
        <w:tc>
          <w:tcPr>
            <w:tcW w:w="940" w:type="dxa"/>
            <w:gridSpan w:val="2"/>
            <w:tcBorders>
              <w:top w:val="single" w:sz="4" w:space="0" w:color="auto"/>
              <w:bottom w:val="single" w:sz="4" w:space="0" w:color="auto"/>
            </w:tcBorders>
          </w:tcPr>
          <w:p w14:paraId="59595D80"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LM</w:t>
            </w:r>
          </w:p>
        </w:tc>
        <w:tc>
          <w:tcPr>
            <w:tcW w:w="1011" w:type="dxa"/>
            <w:gridSpan w:val="2"/>
            <w:tcBorders>
              <w:top w:val="single" w:sz="4" w:space="0" w:color="auto"/>
              <w:bottom w:val="single" w:sz="4" w:space="0" w:color="auto"/>
            </w:tcBorders>
          </w:tcPr>
          <w:p w14:paraId="5464CF77"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HET</w:t>
            </w:r>
          </w:p>
        </w:tc>
        <w:tc>
          <w:tcPr>
            <w:tcW w:w="831" w:type="dxa"/>
            <w:gridSpan w:val="2"/>
            <w:tcBorders>
              <w:top w:val="single" w:sz="4" w:space="0" w:color="auto"/>
              <w:bottom w:val="single" w:sz="4" w:space="0" w:color="auto"/>
            </w:tcBorders>
          </w:tcPr>
          <w:p w14:paraId="3A77EB83"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Lpos</w:t>
            </w:r>
          </w:p>
        </w:tc>
        <w:tc>
          <w:tcPr>
            <w:tcW w:w="864" w:type="dxa"/>
            <w:gridSpan w:val="3"/>
            <w:tcBorders>
              <w:top w:val="single" w:sz="4" w:space="0" w:color="auto"/>
              <w:bottom w:val="single" w:sz="4" w:space="0" w:color="auto"/>
            </w:tcBorders>
          </w:tcPr>
          <w:p w14:paraId="2592CDEB"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Lneg</w:t>
            </w:r>
          </w:p>
        </w:tc>
        <w:tc>
          <w:tcPr>
            <w:tcW w:w="1101" w:type="dxa"/>
            <w:gridSpan w:val="3"/>
            <w:tcBorders>
              <w:top w:val="single" w:sz="4" w:space="0" w:color="auto"/>
              <w:bottom w:val="single" w:sz="4" w:space="0" w:color="auto"/>
            </w:tcBorders>
          </w:tcPr>
          <w:p w14:paraId="0BF2753C"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WLR</w:t>
            </w:r>
          </w:p>
        </w:tc>
        <w:tc>
          <w:tcPr>
            <w:tcW w:w="832" w:type="dxa"/>
            <w:gridSpan w:val="2"/>
            <w:tcBorders>
              <w:top w:val="single" w:sz="4" w:space="0" w:color="auto"/>
              <w:bottom w:val="single" w:sz="4" w:space="0" w:color="auto"/>
            </w:tcBorders>
          </w:tcPr>
          <w:p w14:paraId="6F882F7F"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WSR</w:t>
            </w:r>
          </w:p>
        </w:tc>
        <w:tc>
          <w:tcPr>
            <w:tcW w:w="828" w:type="dxa"/>
            <w:gridSpan w:val="2"/>
            <w:tcBorders>
              <w:top w:val="single" w:sz="4" w:space="0" w:color="auto"/>
              <w:bottom w:val="single" w:sz="4" w:space="0" w:color="auto"/>
            </w:tcBorders>
          </w:tcPr>
          <w:p w14:paraId="56931DE3"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Cusum</w:t>
            </w:r>
          </w:p>
        </w:tc>
        <w:tc>
          <w:tcPr>
            <w:tcW w:w="850" w:type="dxa"/>
            <w:gridSpan w:val="2"/>
            <w:tcBorders>
              <w:top w:val="single" w:sz="4" w:space="0" w:color="auto"/>
              <w:bottom w:val="single" w:sz="4" w:space="0" w:color="auto"/>
            </w:tcBorders>
          </w:tcPr>
          <w:p w14:paraId="64EE65F4" w14:textId="77777777" w:rsidR="004369AC" w:rsidRPr="004369AC" w:rsidRDefault="004369AC" w:rsidP="00FA3900">
            <w:pPr>
              <w:jc w:val="center"/>
              <w:rPr>
                <w:rFonts w:ascii="Times New Roman" w:hAnsi="Times New Roman" w:cs="Times New Roman"/>
                <w:color w:val="000000"/>
                <w:sz w:val="18"/>
                <w:szCs w:val="18"/>
              </w:rPr>
            </w:pPr>
            <w:r w:rsidRPr="004369AC">
              <w:rPr>
                <w:rFonts w:ascii="Times New Roman" w:hAnsi="Times New Roman" w:cs="Times New Roman"/>
                <w:color w:val="000000"/>
                <w:sz w:val="18"/>
                <w:szCs w:val="18"/>
              </w:rPr>
              <w:t>Cusum SQ</w:t>
            </w:r>
          </w:p>
        </w:tc>
      </w:tr>
      <w:tr w:rsidR="00B03F72" w:rsidRPr="00B03F72" w14:paraId="3C6270B2" w14:textId="77777777" w:rsidTr="00B03F72">
        <w:tc>
          <w:tcPr>
            <w:tcW w:w="805" w:type="dxa"/>
            <w:gridSpan w:val="3"/>
            <w:tcBorders>
              <w:top w:val="single" w:sz="4" w:space="0" w:color="auto"/>
              <w:bottom w:val="single" w:sz="4" w:space="0" w:color="auto"/>
            </w:tcBorders>
          </w:tcPr>
          <w:p w14:paraId="6F86CD15"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0.40855</w:t>
            </w:r>
          </w:p>
        </w:tc>
        <w:tc>
          <w:tcPr>
            <w:tcW w:w="1112" w:type="dxa"/>
            <w:gridSpan w:val="2"/>
            <w:tcBorders>
              <w:top w:val="single" w:sz="4" w:space="0" w:color="auto"/>
              <w:bottom w:val="single" w:sz="4" w:space="0" w:color="auto"/>
            </w:tcBorders>
          </w:tcPr>
          <w:p w14:paraId="21768C7A"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0.8643</w:t>
            </w:r>
          </w:p>
        </w:tc>
        <w:tc>
          <w:tcPr>
            <w:tcW w:w="1011" w:type="dxa"/>
            <w:gridSpan w:val="2"/>
            <w:tcBorders>
              <w:top w:val="single" w:sz="4" w:space="0" w:color="auto"/>
              <w:bottom w:val="single" w:sz="4" w:space="0" w:color="auto"/>
            </w:tcBorders>
          </w:tcPr>
          <w:p w14:paraId="5BF7E2BC"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0.4718</w:t>
            </w:r>
          </w:p>
        </w:tc>
        <w:tc>
          <w:tcPr>
            <w:tcW w:w="831" w:type="dxa"/>
            <w:gridSpan w:val="3"/>
            <w:tcBorders>
              <w:top w:val="single" w:sz="4" w:space="0" w:color="auto"/>
              <w:bottom w:val="single" w:sz="4" w:space="0" w:color="auto"/>
            </w:tcBorders>
          </w:tcPr>
          <w:p w14:paraId="4FC22BE6"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(0.0319)</w:t>
            </w:r>
          </w:p>
        </w:tc>
        <w:tc>
          <w:tcPr>
            <w:tcW w:w="864" w:type="dxa"/>
            <w:gridSpan w:val="2"/>
            <w:tcBorders>
              <w:top w:val="single" w:sz="4" w:space="0" w:color="auto"/>
              <w:bottom w:val="single" w:sz="4" w:space="0" w:color="auto"/>
            </w:tcBorders>
          </w:tcPr>
          <w:p w14:paraId="671AFC15"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(0.0472)</w:t>
            </w:r>
          </w:p>
        </w:tc>
        <w:tc>
          <w:tcPr>
            <w:tcW w:w="1101" w:type="dxa"/>
            <w:gridSpan w:val="3"/>
            <w:tcBorders>
              <w:top w:val="single" w:sz="4" w:space="0" w:color="auto"/>
              <w:bottom w:val="single" w:sz="4" w:space="0" w:color="auto"/>
            </w:tcBorders>
          </w:tcPr>
          <w:p w14:paraId="11459031"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4.2796</w:t>
            </w:r>
          </w:p>
          <w:p w14:paraId="34B9641E"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(0.0151)</w:t>
            </w:r>
            <w:r w:rsidRPr="004369AC">
              <w:rPr>
                <w:rFonts w:ascii="Times New Roman" w:hAnsi="Times New Roman" w:cs="Times New Roman"/>
                <w:color w:val="000000"/>
                <w:sz w:val="18"/>
                <w:szCs w:val="18"/>
                <w:vertAlign w:val="superscript"/>
              </w:rPr>
              <w:t>***</w:t>
            </w:r>
          </w:p>
        </w:tc>
        <w:tc>
          <w:tcPr>
            <w:tcW w:w="831" w:type="dxa"/>
            <w:gridSpan w:val="2"/>
            <w:tcBorders>
              <w:top w:val="single" w:sz="4" w:space="0" w:color="auto"/>
              <w:bottom w:val="single" w:sz="4" w:space="0" w:color="auto"/>
            </w:tcBorders>
          </w:tcPr>
          <w:p w14:paraId="4742B534"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0.3054</w:t>
            </w:r>
          </w:p>
          <w:p w14:paraId="652E71B7"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(0.7372)</w:t>
            </w:r>
          </w:p>
        </w:tc>
        <w:tc>
          <w:tcPr>
            <w:tcW w:w="828" w:type="dxa"/>
            <w:gridSpan w:val="2"/>
            <w:tcBorders>
              <w:top w:val="single" w:sz="4" w:space="0" w:color="auto"/>
              <w:bottom w:val="single" w:sz="4" w:space="0" w:color="auto"/>
            </w:tcBorders>
          </w:tcPr>
          <w:p w14:paraId="41CD73EA"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Sign</w:t>
            </w:r>
          </w:p>
        </w:tc>
        <w:tc>
          <w:tcPr>
            <w:tcW w:w="854" w:type="dxa"/>
            <w:gridSpan w:val="2"/>
            <w:tcBorders>
              <w:top w:val="single" w:sz="4" w:space="0" w:color="auto"/>
              <w:bottom w:val="single" w:sz="4" w:space="0" w:color="auto"/>
            </w:tcBorders>
          </w:tcPr>
          <w:p w14:paraId="01E4AA35" w14:textId="77777777" w:rsidR="004369AC" w:rsidRPr="004369AC" w:rsidRDefault="004369AC" w:rsidP="00B03F72">
            <w:pPr>
              <w:jc w:val="both"/>
              <w:rPr>
                <w:rFonts w:ascii="Times New Roman" w:hAnsi="Times New Roman" w:cs="Times New Roman"/>
                <w:color w:val="000000"/>
                <w:sz w:val="18"/>
                <w:szCs w:val="18"/>
              </w:rPr>
            </w:pPr>
            <w:r w:rsidRPr="004369AC">
              <w:rPr>
                <w:rFonts w:ascii="Times New Roman" w:hAnsi="Times New Roman" w:cs="Times New Roman"/>
                <w:color w:val="000000"/>
                <w:sz w:val="18"/>
                <w:szCs w:val="18"/>
              </w:rPr>
              <w:t>Sign</w:t>
            </w:r>
          </w:p>
        </w:tc>
      </w:tr>
    </w:tbl>
    <w:p w14:paraId="278A3469" w14:textId="77777777" w:rsidR="004369AC" w:rsidRPr="004369AC" w:rsidRDefault="004369AC" w:rsidP="00B03F72">
      <w:pPr>
        <w:spacing w:line="276" w:lineRule="auto"/>
        <w:ind w:left="993"/>
        <w:jc w:val="both"/>
        <w:rPr>
          <w:i/>
          <w:iCs/>
          <w:color w:val="000000"/>
          <w:lang w:val="id-ID"/>
        </w:rPr>
      </w:pPr>
      <w:r w:rsidRPr="004369AC">
        <w:rPr>
          <w:i/>
          <w:iCs/>
          <w:color w:val="000000"/>
          <w:lang w:val="id-ID"/>
        </w:rPr>
        <w:t>Note : *** Significant at the 1 percent</w:t>
      </w:r>
    </w:p>
    <w:p w14:paraId="7C095F28"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The NARDL model estimation in Table 4 shows that rupiah depreciation has a negative effect on CPO exports in the long term, with a coefficient of 0.81551. The asymmetric relationship between the rupiah exchange rate and exports from each agricultural subsector is a double-log function, which can be interpreted as elasticity. This positive coefficient indicates that a 1 percent depreciation in the rupiah is associated with a 0.81551 percent increase in Indonesian CPO exports. This means that when the rupiah weakens, the competitiveness of Indonesian products increases, which in turn drives exports, particularly for commodity products such as CPO. This finding aligns with the theory stating that currency depreciation can lower the price of export products in the international market, thus boosting demand from export destination countries. This also supports the hypothesis that the strengthening of Indonesia’s product competitiveness in international markets occurs when the local currency depreciates, providing a competitive advantage for exporters.</w:t>
      </w:r>
    </w:p>
    <w:p w14:paraId="0E947885"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 xml:space="preserve">On the other hand, with a coefficient of -1.6369, rupiah appreciation exhibits a larger adverse effect. Because of this negative coefficient, Indonesian CPO exports will fall 1.6369 percent for every 1% increase in the value of the rupiah. </w:t>
      </w:r>
      <w:r w:rsidRPr="00CA4B2A">
        <w:rPr>
          <w:color w:val="000000"/>
          <w:sz w:val="22"/>
          <w:szCs w:val="22"/>
          <w:lang w:val="id-ID"/>
        </w:rPr>
        <w:lastRenderedPageBreak/>
        <w:t>This adverse consequence suggests that when the value of the Indonesian currency increases, export goods become more costly for countries that buy them, potentially decreasing the attractiveness of Indonesian goods on the global market. This could result in less demand for exports, particularly for commodities like CPO that are extremely price-sensitive. Given the more competitive export goods when prices decline, this effect shows that the global market responds more to rupiah depreciation than appreciation.</w:t>
      </w:r>
    </w:p>
    <w:p w14:paraId="70E04AE0"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The results of Bahmani-Oskooee and Fariditavana (2016), which demonstrate that depreciation can improve export competitiveness in developing nations, particularly the agriculture sector and other top items like palm oil, are in line with these findings. It has been demonstrated that rupiah depreciation has a major short-term impact on exports, whilst rupiah appreciation has no discernible impact. This suggests that CPO exports are more sensitive to depreciation, which may be seen as a shorter-term market response to currency swings. With an adjusted R2 of 0.40855, the diagnostic model suggests that other external factors also affect export success, as exchange rate changes only account for around 40.85% of the variation in CPO exports. This is consistent with the findings of Benhmad and Percebois (2019).</w:t>
      </w:r>
    </w:p>
    <w:p w14:paraId="67A554EE"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The estimation results in Table 4 show that the Indonesian CPO export variable has a long-term asymmetric effect on the Indonesian exchange rate with a WLR value of less than 0.05, but the WSR value of 0.7372 indicates that Indonesian CPO exports do not show an asymmetric influence in the short term, indicating that the asymmetry test does not show a significant short-term impact of currency rate and CPO exports. This is explained by the use of long-term contracts in CPO exports, which reduces the short-term direct impact of currency rate fluctuations on exports.</w:t>
      </w:r>
    </w:p>
    <w:p w14:paraId="4CB81B55"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Krugman and Obstfeld's (2005) J-Curve theory, which holds that exchange rate fluctuations will have a greater long-term impact on exports following contract and market adjustments, is in line with these findings. Zakaria's (2013) recent study demonstrates that exchange rate fluctuations affect exports over an extended period of time, even though the effects may not be immediately noticeable. According to Zakaria (2013), the consequences become increasingly apparent over time since exporters require time to adapt to changes in currency rates. Moreover, the research conducted by Bostan and Firtescu (2018) shows that exports are not always affected linearly by changes in currency rates.</w:t>
      </w:r>
    </w:p>
    <w:p w14:paraId="4DFD62CC"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Changes in the rupiah's value have no direct effect on CPO exports. According to the long-term Wald test results, the rupiah exchange rate has an asymmetrical impact on changes in exports from Indonesia's plantation industry. The influence is considerable, with a probability below the significance threshold. Long-term asymmetry suggests that depreciation and appreciation shocks must be examined separately since they frequently affect the dependent variable in different ways. To put it another way, Indonesian CPO exports respond differently to over time to depreciation and appreciation. These results are supported by Nguyen and Sato's (2019) research, which also revealed an imbalanced link between exports and the currency rate. the numerous consequences of both appreciation and depreciation of the Rupiah.</w:t>
      </w:r>
    </w:p>
    <w:p w14:paraId="0CC3FA90"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One of the challenges, according to Khairunisa (2017), is the Renewable Energy Directive (RED) rule of the European Union, which prohibits the use of biofuels made from palm oil since their carbon emissions are higher than the threshold of 35 percent imposed by the EU. It is also more difficult to export Indonesian agricultural goods, including CPO, due to the implementation of programs like the EU's Farm to Fork initiative, which increases food safety regulations, and restrictions on pesticide residues (Wahida, 2021). As a result, in addition to fluctuations in currency rates, external factors such as trade laws and environmental requirements have a big influence on Indonesia's CPO exports.</w:t>
      </w:r>
    </w:p>
    <w:p w14:paraId="5570209B"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Changes in exchange rates can have a number of implications, according to recent studies, especially on how a nation responds to currency appreciation and depreciation. CPO and other agricultural goods are particularly affected by this. Recent studies suggest that the effects of exchange rate swings on exports might not be equal, with periods of currency depreciation having a greater impact than periods of appreciation (Handoyo et al., 2023). Depreciation can make items like CPO more competitive in international markets, whereas appreciation tends to make export commodities less attractive since they become more expensive in foreign markets, according to this research.</w:t>
      </w:r>
    </w:p>
    <w:p w14:paraId="499FC049"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 xml:space="preserve">By highlighting that the impact of exchange rate variations varies depending on whether the currency rate is undergoing a positive or negative shock, Iqbal et al.'s (2022) research adds additional support for a non-linear link between exchange rate volatility and trade flows. As seen by Indonesia's CPO exports, these findings show that exporters face unique challenges when currencies increase or decrease, which affects the price competitiveness of </w:t>
      </w:r>
      <w:r w:rsidRPr="00CA4B2A">
        <w:rPr>
          <w:color w:val="000000"/>
          <w:sz w:val="22"/>
          <w:szCs w:val="22"/>
          <w:lang w:val="id-ID"/>
        </w:rPr>
        <w:lastRenderedPageBreak/>
        <w:t>CPO in export markets. Policymakers can develop more effective policies for Indonesia's agricultural industry, particularly for CPO commodities, if they have a better understanding of this connection.</w:t>
      </w:r>
    </w:p>
    <w:p w14:paraId="3E90E5BD" w14:textId="10A09287" w:rsidR="00B62A87" w:rsidRPr="00CA4B2A" w:rsidRDefault="004369AC" w:rsidP="004369AC">
      <w:pPr>
        <w:spacing w:line="276" w:lineRule="auto"/>
        <w:jc w:val="both"/>
        <w:rPr>
          <w:color w:val="000000"/>
          <w:sz w:val="22"/>
          <w:szCs w:val="22"/>
          <w:lang w:val="id-ID"/>
        </w:rPr>
      </w:pPr>
      <w:r w:rsidRPr="00CA4B2A">
        <w:rPr>
          <w:color w:val="000000"/>
          <w:sz w:val="22"/>
          <w:szCs w:val="22"/>
          <w:lang w:val="id-ID"/>
        </w:rPr>
        <w:t>Although depreciation tends to increase long-term export competitiveness, appreciation tends to decrease it. Overall, the estimation findings of the NARDL model show that the rupiah exchange rate has an inconsistent impact on Indonesia's CPO exports. Because devaluation makes Indonesian commodities more attractive on the international market, it will boost CPO exports while appreciation will increase prices and reduce demand for exports. These results are further supported by the J-Curve theory, which holds that the impacts of exchange rate swings become increasingly apparent over time after market corrections. Nonetheless, external factors like global trade laws, particularly the European Union's RED policy, also have an impact on Indonesia's export limitations on CPO.</w:t>
      </w:r>
    </w:p>
    <w:p w14:paraId="10CF995A" w14:textId="77777777" w:rsidR="00B03F72" w:rsidRPr="00CA4B2A" w:rsidRDefault="00B03F72" w:rsidP="004369AC">
      <w:pPr>
        <w:spacing w:line="276" w:lineRule="auto"/>
        <w:jc w:val="both"/>
        <w:rPr>
          <w:b/>
          <w:sz w:val="22"/>
          <w:szCs w:val="22"/>
        </w:rPr>
      </w:pPr>
    </w:p>
    <w:p w14:paraId="57CA49A4" w14:textId="18848DA6" w:rsidR="00B62A87" w:rsidRPr="00CA4B2A" w:rsidRDefault="0064488E">
      <w:pPr>
        <w:spacing w:line="276" w:lineRule="auto"/>
        <w:jc w:val="both"/>
        <w:rPr>
          <w:b/>
          <w:sz w:val="22"/>
          <w:szCs w:val="22"/>
        </w:rPr>
      </w:pPr>
      <w:r w:rsidRPr="00CA4B2A">
        <w:rPr>
          <w:b/>
          <w:sz w:val="22"/>
          <w:szCs w:val="22"/>
        </w:rPr>
        <w:t xml:space="preserve">CONCLUSION </w:t>
      </w:r>
    </w:p>
    <w:p w14:paraId="29047BF3" w14:textId="1B7BA362"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 xml:space="preserve">This study reveals </w:t>
      </w:r>
      <w:r w:rsidR="007053C4" w:rsidRPr="00CA4B2A">
        <w:rPr>
          <w:color w:val="000000"/>
          <w:sz w:val="22"/>
          <w:szCs w:val="22"/>
        </w:rPr>
        <w:t>that the rupiah exchange rate exerts an asymmetric impact on Indonesia's CPO exports</w:t>
      </w:r>
      <w:r w:rsidRPr="00CA4B2A">
        <w:rPr>
          <w:color w:val="000000"/>
          <w:sz w:val="22"/>
          <w:szCs w:val="22"/>
          <w:lang w:val="id-ID"/>
        </w:rPr>
        <w:t xml:space="preserve">. </w:t>
      </w:r>
      <w:r w:rsidR="007053C4" w:rsidRPr="00CA4B2A">
        <w:rPr>
          <w:color w:val="000000"/>
          <w:sz w:val="22"/>
          <w:szCs w:val="22"/>
        </w:rPr>
        <w:t>It has been shown that a depreciation of the rupiah enhances the competitiveness of CPO exports in global markets, leading to an increase in export volume.</w:t>
      </w:r>
      <w:r w:rsidRPr="00CA4B2A">
        <w:rPr>
          <w:color w:val="000000"/>
          <w:sz w:val="22"/>
          <w:szCs w:val="22"/>
          <w:lang w:val="id-ID"/>
        </w:rPr>
        <w:t xml:space="preserve"> This is in line with the theory that currency depreciation can make export products more affordable, increasing demand from buying countries.</w:t>
      </w:r>
    </w:p>
    <w:p w14:paraId="2C13E3AF" w14:textId="77777777"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Conversely, rupiah appreciation has a negative impact on CPO exports. When the rupiah strengthens, the price of CPO products becomes more expensive, which reduces the attractiveness of these products in the international market. Therefore, the market is more responsive to depreciation than to exchange rate appreciation. In the short term, the impact of rupiah depreciation on CPO exports is more significant than rupiah appreciation. This indicates that in the short term, exchange rate fluctuations have a greater impact on product price competitiveness. However, in the long term, market adjustments and other external factors, such as international trade policies, also affect export performance.</w:t>
      </w:r>
    </w:p>
    <w:p w14:paraId="12127237" w14:textId="53491021" w:rsidR="004369AC" w:rsidRPr="00CA4B2A" w:rsidRDefault="004369AC" w:rsidP="004369AC">
      <w:pPr>
        <w:spacing w:line="276" w:lineRule="auto"/>
        <w:jc w:val="both"/>
        <w:rPr>
          <w:color w:val="000000"/>
          <w:sz w:val="22"/>
          <w:szCs w:val="22"/>
          <w:lang w:val="id-ID"/>
        </w:rPr>
      </w:pPr>
      <w:r w:rsidRPr="00CA4B2A">
        <w:rPr>
          <w:color w:val="000000"/>
          <w:sz w:val="22"/>
          <w:szCs w:val="22"/>
          <w:lang w:val="id-ID"/>
        </w:rPr>
        <w:t xml:space="preserve">Overall, </w:t>
      </w:r>
      <w:r w:rsidR="00D93794" w:rsidRPr="00CA4B2A">
        <w:rPr>
          <w:color w:val="000000"/>
          <w:sz w:val="22"/>
          <w:szCs w:val="22"/>
        </w:rPr>
        <w:t>the findings of this study validate that</w:t>
      </w:r>
      <w:r w:rsidRPr="00CA4B2A">
        <w:rPr>
          <w:color w:val="000000"/>
          <w:sz w:val="22"/>
          <w:szCs w:val="22"/>
          <w:lang w:val="id-ID"/>
        </w:rPr>
        <w:t xml:space="preserve"> the asymmetric effect of exchange rates on CPO exports must be considered in formulating trade policies. Rupiah depreciation can encourage exports, while appreciation tends to hinder them. This study also shows the importance of considering external factors, such as international trade policies, in determining Indonesia's CPO export strategy.</w:t>
      </w:r>
    </w:p>
    <w:p w14:paraId="465BD959" w14:textId="2A5FD0FF" w:rsidR="00B62A87" w:rsidRPr="00CA4B2A" w:rsidRDefault="004369AC">
      <w:pPr>
        <w:spacing w:line="276" w:lineRule="auto"/>
        <w:jc w:val="both"/>
        <w:rPr>
          <w:color w:val="000000"/>
          <w:sz w:val="22"/>
          <w:szCs w:val="22"/>
          <w:lang w:val="id-ID"/>
        </w:rPr>
      </w:pPr>
      <w:r w:rsidRPr="00CA4B2A">
        <w:rPr>
          <w:color w:val="000000"/>
          <w:sz w:val="22"/>
          <w:szCs w:val="22"/>
          <w:lang w:val="id-ID"/>
        </w:rPr>
        <w:t xml:space="preserve">Based on research findings that show an asymmetric influence between the rupiah exchange rate and Indonesian CPO exports, with rupiah depreciation increasing export competitiveness in the long term, while rupiah appreciation risks reducing that competitiveness, a number of recommendations can be put forward. </w:t>
      </w:r>
      <w:r w:rsidR="00541FB1" w:rsidRPr="00CA4B2A">
        <w:rPr>
          <w:color w:val="000000"/>
          <w:sz w:val="22"/>
          <w:szCs w:val="22"/>
        </w:rPr>
        <w:t>The Indonesian government should prioritize formulating policies aimed at stabilizing exchange rates while considering their long-term effects on the competitiveness of export commodities</w:t>
      </w:r>
      <w:r w:rsidRPr="00CA4B2A">
        <w:rPr>
          <w:color w:val="000000"/>
          <w:sz w:val="22"/>
          <w:szCs w:val="22"/>
          <w:lang w:val="id-ID"/>
        </w:rPr>
        <w:t xml:space="preserve">. In addition, to overcome the negative impact of rupiah appreciation on exports, it is important for the government and private sector to improve product quality, expand export markets, and seek product diversification opportunities to reduce dependence on exchange rate fluctuations. In addition, the development of a more aggressive international marketing strategy and improvement of logistics facilities also need to be considered to maintain the competitiveness of Indonesian products in the global market. Second, the CPO export sector needs to pay attention to external factors such as international trade policies that can affect export performance. </w:t>
      </w:r>
      <w:r w:rsidR="00541FB1" w:rsidRPr="00CA4B2A">
        <w:rPr>
          <w:color w:val="000000"/>
          <w:sz w:val="22"/>
          <w:szCs w:val="22"/>
          <w:lang w:val="id-ID"/>
        </w:rPr>
        <w:t>An example can be found in the European Union's Renewable Energy Directive (RED), which imposes restrictions on the utilization of biofuels derived from palm oil</w:t>
      </w:r>
      <w:r w:rsidRPr="00CA4B2A">
        <w:rPr>
          <w:color w:val="000000"/>
          <w:sz w:val="22"/>
          <w:szCs w:val="22"/>
          <w:lang w:val="id-ID"/>
        </w:rPr>
        <w:t>. For this reason, the Indonesian CPO sector needs to adapt to these policies through innovation in production and utilization of environmentally friendly technology. The government and exporter associations must also be more intensive in communicating with export destination countries to ensure that the established food and environmental safety standards can be met. In this way, despite exchange rate fluctuations that affect exports, the Indonesian CPO sector can still maintain its competitiveness and increase exports in the global market.</w:t>
      </w:r>
      <w:bookmarkEnd w:id="0"/>
    </w:p>
    <w:p w14:paraId="4CAE095E" w14:textId="47B55F90" w:rsidR="00B62A87" w:rsidRPr="00CA4B2A" w:rsidRDefault="0064488E">
      <w:pPr>
        <w:spacing w:line="276" w:lineRule="auto"/>
        <w:jc w:val="both"/>
        <w:rPr>
          <w:b/>
          <w:sz w:val="22"/>
          <w:szCs w:val="22"/>
        </w:rPr>
      </w:pPr>
      <w:r w:rsidRPr="00CA4B2A">
        <w:rPr>
          <w:b/>
          <w:sz w:val="22"/>
          <w:szCs w:val="22"/>
        </w:rPr>
        <w:t xml:space="preserve">ACKNOWLEDGMENTS </w:t>
      </w:r>
    </w:p>
    <w:p w14:paraId="74652813" w14:textId="4633B782" w:rsidR="00F15C7A" w:rsidRPr="00CA4B2A" w:rsidRDefault="00F15C7A">
      <w:pPr>
        <w:spacing w:line="276" w:lineRule="auto"/>
        <w:jc w:val="both"/>
        <w:rPr>
          <w:sz w:val="22"/>
          <w:szCs w:val="22"/>
        </w:rPr>
      </w:pPr>
      <w:r w:rsidRPr="00CA4B2A">
        <w:rPr>
          <w:sz w:val="22"/>
          <w:szCs w:val="22"/>
        </w:rPr>
        <w:t xml:space="preserve">The authors would like to express their gratitude to all individuals and institutions that contributed to this study. Special thanks go to the research team at </w:t>
      </w:r>
      <w:r w:rsidRPr="00CA4B2A">
        <w:rPr>
          <w:sz w:val="22"/>
          <w:szCs w:val="22"/>
          <w:lang w:val="id-ID"/>
        </w:rPr>
        <w:t>Departement of Agribusiness, Faculty of Agriculture, Universitas Jambi</w:t>
      </w:r>
      <w:r w:rsidRPr="00CA4B2A">
        <w:rPr>
          <w:sz w:val="22"/>
          <w:szCs w:val="22"/>
        </w:rPr>
        <w:t xml:space="preserve">, who provided invaluable support during the data collection and analysis phases. We also acknowledge the constructive feedback and guidance offered by </w:t>
      </w:r>
      <w:r w:rsidR="00AD7AA5" w:rsidRPr="00CA4B2A">
        <w:rPr>
          <w:sz w:val="22"/>
          <w:szCs w:val="22"/>
        </w:rPr>
        <w:t>Prof. Dr. Ir. Zulkifli Alamsyah, M.Sc</w:t>
      </w:r>
      <w:r w:rsidRPr="00CA4B2A">
        <w:rPr>
          <w:sz w:val="22"/>
          <w:szCs w:val="22"/>
        </w:rPr>
        <w:t>. This research would not have been possible without the technical assistance and encouragement of our colleagues, as well as the institutional resources provided by Universitas Jambi.</w:t>
      </w:r>
    </w:p>
    <w:p w14:paraId="32FA6632" w14:textId="77777777" w:rsidR="00F15C7A" w:rsidRPr="00CA4B2A" w:rsidRDefault="00F15C7A">
      <w:pPr>
        <w:spacing w:line="276" w:lineRule="auto"/>
        <w:jc w:val="both"/>
        <w:rPr>
          <w:sz w:val="22"/>
          <w:szCs w:val="22"/>
        </w:rPr>
      </w:pPr>
    </w:p>
    <w:p w14:paraId="0D2A5849" w14:textId="67BF5A5C" w:rsidR="00B62A87" w:rsidRPr="00CA4B2A" w:rsidRDefault="0064488E">
      <w:pPr>
        <w:spacing w:line="276" w:lineRule="auto"/>
        <w:jc w:val="both"/>
        <w:rPr>
          <w:b/>
          <w:sz w:val="22"/>
          <w:szCs w:val="22"/>
        </w:rPr>
      </w:pPr>
      <w:r w:rsidRPr="00CA4B2A">
        <w:rPr>
          <w:b/>
          <w:sz w:val="22"/>
          <w:szCs w:val="22"/>
        </w:rPr>
        <w:t xml:space="preserve">DISCLOSURE </w:t>
      </w:r>
    </w:p>
    <w:p w14:paraId="396B5231" w14:textId="66B5F696" w:rsidR="00B62A87" w:rsidRPr="00CA4B2A" w:rsidRDefault="006A618F">
      <w:pPr>
        <w:spacing w:line="276" w:lineRule="auto"/>
        <w:jc w:val="both"/>
        <w:rPr>
          <w:sz w:val="22"/>
          <w:szCs w:val="22"/>
        </w:rPr>
      </w:pPr>
      <w:r w:rsidRPr="00CA4B2A">
        <w:rPr>
          <w:sz w:val="22"/>
          <w:szCs w:val="22"/>
        </w:rPr>
        <w:t>The authors report no conflicts of interest in this work. The study was conducted independently and was not influenced by any financial, professional, or personal relationships with individuals, institutions, or organizations that could potentially introduce bias or be perceived as a conflict of interest. All data collection, analysis, and interpretation were performed with complete objectivity and transparency to ensure the credibility and reliability of the research findings. The authors confirm that no external funding or resources were received that might have impacted the outcomes or conclusions presented in this study. Additionally, there was no involvement from third parties in the design, execution, or dissemination of the research.</w:t>
      </w:r>
    </w:p>
    <w:p w14:paraId="3532F22A" w14:textId="77777777" w:rsidR="006A618F" w:rsidRPr="00CA4B2A" w:rsidRDefault="006A618F">
      <w:pPr>
        <w:spacing w:line="276" w:lineRule="auto"/>
        <w:jc w:val="both"/>
        <w:rPr>
          <w:sz w:val="22"/>
          <w:szCs w:val="22"/>
        </w:rPr>
      </w:pPr>
    </w:p>
    <w:p w14:paraId="21FAEBA7" w14:textId="62C07E2D" w:rsidR="003076F3" w:rsidRPr="00CA4B2A" w:rsidRDefault="003076F3" w:rsidP="004369AC">
      <w:pPr>
        <w:spacing w:line="276" w:lineRule="auto"/>
        <w:jc w:val="both"/>
        <w:rPr>
          <w:b/>
          <w:sz w:val="22"/>
          <w:szCs w:val="22"/>
        </w:rPr>
      </w:pPr>
      <w:r w:rsidRPr="00CA4B2A">
        <w:rPr>
          <w:b/>
          <w:sz w:val="22"/>
          <w:szCs w:val="22"/>
        </w:rPr>
        <w:t xml:space="preserve">REFERENCES </w:t>
      </w:r>
    </w:p>
    <w:p w14:paraId="536C0EA8" w14:textId="50066FC6"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Benhmad, F., &amp; Percebois, J. (2019). Exchange rate volatility and exports: the case of energy products in the Eurozone. Energy Economics, 83, 15-27. https://doi.org/10.1016/j.eneco.2019.105112</w:t>
      </w:r>
    </w:p>
    <w:p w14:paraId="737B1C6B"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Cheung, Y. W., &amp; Sengupta, R. (2013). Impact of exchange rate movements on exports: An analysis of Indian non-financial sector firms. Journal of International Money and Finance, 39, 231-245.</w:t>
      </w:r>
    </w:p>
    <w:p w14:paraId="54FE2975"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Deliktaş, E., &amp; Karadaş, M. (2021). The Impact of Exchange Rate Depreciation and Appreciation on Export Performance: Evidence from Turkey. Journal of Economic and Social Research, 23(2), 109-127. https://doi.org/10.14706/jesr.2021.23.2.109</w:t>
      </w:r>
    </w:p>
    <w:p w14:paraId="35895F9F"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Deliktaş, E., &amp; Karadaş, H. (2021). Exchange rate asymmetry and agricultural export performance: Evidence from NARDL analysis in Turkey. Agricultural Economics, 67(5), 189-200. https://doi.org/10.17221/54/2021-AGRICECON</w:t>
      </w:r>
    </w:p>
    <w:p w14:paraId="722622BC"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Handoyo, E., Soegijanto, S., &amp; Kurniawan, D. (2023). The asymmetric impact of exchange rate volatility on export performance: Evidence from Indonesian agricultural products. Journal of International Economics, 12(3), 187-205.</w:t>
      </w:r>
    </w:p>
    <w:p w14:paraId="3C0F8D8B"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Hadi, S. (2021). Asymmetric Effects of Exchange Rate on Agricultural Exports: Evidence from Indonesia. Agricultural Economics Research Review, 34(1), 58-69.</w:t>
      </w:r>
    </w:p>
    <w:p w14:paraId="3BB5E217"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Iqbal, M., Rahman, M. H., &amp; Hasan, M. (2022). Non-linear effects of exchange rate fluctuations on export flows: A case study of developing countries. Journal of Economic Dynamics, 19(2), 145-160.</w:t>
      </w:r>
    </w:p>
    <w:p w14:paraId="4BAF68F7"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Kandasamy, M., Ho, K. H., &amp; Goh, J. H. (2020). The Impact of Exchange Rate on Palm Oil Export in Malaysia. Asian Economic Policy Review, 15(2), 345-359. https://doi.org/10.1111/aepr.12257</w:t>
      </w:r>
    </w:p>
    <w:p w14:paraId="235AB90E"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Kandasamy, S., Sam, C., &amp; Devi, S. (2020). Exchange rate volatility and asymmetric effects on Malaysia's palm oil exports: Evidence from NARDL. Economic Modelling, 87, 123-136. https://doi.org/10.1016/j.econmod.2019.09.016</w:t>
      </w:r>
    </w:p>
    <w:p w14:paraId="6A7A0215"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Khairunisa, D. (2017). Impact of European Union's Renewable Energy Directive on palm oil exports from Indonesia. Journal of Energy Policy, 39(6), 1012-1025.</w:t>
      </w:r>
    </w:p>
    <w:p w14:paraId="65AEE214"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Khairunisa, R. (2017). Renewable Energy Directive (RED) dan Dampaknya terhadap Ekspor Kelapa Sawit Indonesia. Jurnal Ekonomi Pertanian dan Agribisnis, 13(2), 45-56.</w:t>
      </w:r>
    </w:p>
    <w:p w14:paraId="0123FC2D"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Leong, T., &amp; Macmillan, D. (2019). Exchange rate volatility and export dynamics: The case of ASEAN countries. Asian Economic and Financial Review, 9(2), 130-148.</w:t>
      </w:r>
    </w:p>
    <w:p w14:paraId="5C8DF4D5"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Lestari, W. E., Hakim, D. B., &amp; Novianti, S. (2022). Asymmetric impact of exchange rate fluctuations on agricultural exports in Indonesia: Application of NARDL model. Journal of Agribusiness and Rural Development, 15(4), 213-228.</w:t>
      </w:r>
    </w:p>
    <w:p w14:paraId="4CF668D8"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Narayan, P. K., &amp; Narayan, S. (2004). Modelling the relationship between stock prices and exchange rates for a developing country: The case of Fiji. Pacific-Basin Finance Journal, 12(4), 425-438.</w:t>
      </w:r>
    </w:p>
    <w:p w14:paraId="24210721"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Nguyen, T. T., &amp; Sato, M. (2019). The Asymmetric Effects of Exchange Rate on Agricultural Exports: Evidence from ASEAN Economies. Agricultural Economics Review, 10(4), 234-250.</w:t>
      </w:r>
    </w:p>
    <w:p w14:paraId="221B3C9B"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Phillips, P.C.B., &amp; Perron, P. (1988). Testing for a Unit Root in Time Series Regression. Biometrika, 75(2), 335-346.</w:t>
      </w:r>
    </w:p>
    <w:p w14:paraId="09F0C1F5"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Shin, Y., Yu, B., &amp; Greenwood-Nimmo, M. (2014). Modelling asymmetric cointegration and dynamic multipliers in a nonlinear ARDL framework. In W. C. Horrace &amp; R. C. Sickles (Eds.), Festschrift in Honor of Peter Schmidt (pp. 281-314). Springer, New York, NY.</w:t>
      </w:r>
    </w:p>
    <w:p w14:paraId="744D7798"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lastRenderedPageBreak/>
        <w:t>Siregar, R. (2020). Exchange rate volatility and export performance in the Indonesian economy: Exploring asymmetric effects. Indonesian Economic Review, 35(2), 101-120.</w:t>
      </w:r>
    </w:p>
    <w:p w14:paraId="5AF1E6C5" w14:textId="77777777" w:rsidR="004369AC" w:rsidRPr="00CA4B2A" w:rsidRDefault="004369AC" w:rsidP="00A371D2">
      <w:pPr>
        <w:spacing w:line="276" w:lineRule="auto"/>
        <w:ind w:left="709" w:hanging="709"/>
        <w:jc w:val="both"/>
        <w:rPr>
          <w:bCs/>
          <w:sz w:val="22"/>
          <w:szCs w:val="22"/>
          <w:lang w:val="id-ID"/>
        </w:rPr>
      </w:pPr>
      <w:r w:rsidRPr="00CA4B2A">
        <w:rPr>
          <w:bCs/>
          <w:sz w:val="22"/>
          <w:szCs w:val="22"/>
          <w:lang w:val="id-ID"/>
        </w:rPr>
        <w:t>Sudjana, N. (1996). Metode Statistika. Bandung: Tarsito.</w:t>
      </w:r>
    </w:p>
    <w:p w14:paraId="235B85C8" w14:textId="3B450BBC" w:rsidR="00B62A87" w:rsidRPr="00CA4B2A" w:rsidRDefault="004369AC" w:rsidP="00F15C7A">
      <w:pPr>
        <w:spacing w:line="276" w:lineRule="auto"/>
        <w:ind w:left="709" w:hanging="709"/>
        <w:jc w:val="both"/>
        <w:rPr>
          <w:sz w:val="22"/>
          <w:szCs w:val="22"/>
        </w:rPr>
      </w:pPr>
      <w:r w:rsidRPr="00CA4B2A">
        <w:rPr>
          <w:bCs/>
          <w:sz w:val="22"/>
          <w:szCs w:val="22"/>
          <w:lang w:val="id-ID"/>
        </w:rPr>
        <w:t>Wahida, H. (2021). EU's Farm to Fork policy and its impact on palm oil exports: A trade barrier analysis. International Trade Journal, 15(1), 55-70.</w:t>
      </w:r>
    </w:p>
    <w:sectPr w:rsidR="00B62A87" w:rsidRPr="00CA4B2A" w:rsidSect="008001BB">
      <w:pgSz w:w="11920" w:h="16840"/>
      <w:pgMar w:top="851" w:right="851" w:bottom="851" w:left="851" w:header="737" w:footer="680"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77BA6" w14:textId="77777777" w:rsidR="0064488E" w:rsidRDefault="0064488E">
      <w:r>
        <w:separator/>
      </w:r>
    </w:p>
  </w:endnote>
  <w:endnote w:type="continuationSeparator" w:id="0">
    <w:p w14:paraId="196F800C" w14:textId="77777777" w:rsidR="0064488E" w:rsidRDefault="00644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A733C3DA-5037-4E34-9E3E-80FA6EAFC916}"/>
    <w:embedBold r:id="rId2" w:fontKey="{5DCABD9D-93BB-4749-A457-446997B4310C}"/>
    <w:embedBoldItalic r:id="rId3" w:fontKey="{B9A80230-3B65-4EFF-8F6F-65A3B48D112B}"/>
  </w:font>
  <w:font w:name="Calibri">
    <w:panose1 w:val="020F0502020204030204"/>
    <w:charset w:val="00"/>
    <w:family w:val="swiss"/>
    <w:pitch w:val="variable"/>
    <w:sig w:usb0="E4002EFF" w:usb1="C200247B" w:usb2="00000009" w:usb3="00000000" w:csb0="000001FF" w:csb1="00000000"/>
    <w:embedRegular r:id="rId4" w:fontKey="{87C2C463-8EDB-49C1-80D7-ECFF6BA3A0D3}"/>
    <w:embedBold r:id="rId5" w:fontKey="{F9EEABA8-279D-45AC-95B5-CC085965F4AB}"/>
    <w:embedBoldItalic r:id="rId6" w:fontKey="{047D61E0-E042-425A-8924-3A353D5A09F5}"/>
  </w:font>
  <w:font w:name="Georgia">
    <w:panose1 w:val="02040502050405020303"/>
    <w:charset w:val="00"/>
    <w:family w:val="roman"/>
    <w:pitch w:val="variable"/>
    <w:sig w:usb0="00000287" w:usb1="00000000" w:usb2="00000000" w:usb3="00000000" w:csb0="0000009F" w:csb1="00000000"/>
    <w:embedRegular r:id="rId7" w:fontKey="{F2027C73-E954-49CF-B337-75786A2B3A48}"/>
    <w:embedItalic r:id="rId8" w:fontKey="{68B5FB33-BA4D-4BF0-A91D-03EC6F0E7916}"/>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embedRegular r:id="rId9" w:fontKey="{B045EFB5-D203-4E9E-8D2A-BAEF494BAC5C}"/>
    <w:embedBold r:id="rId10" w:fontKey="{68515D5C-9A76-4FD2-8E6D-0687BF01B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6912124"/>
      <w:docPartObj>
        <w:docPartGallery w:val="Page Numbers (Bottom of Page)"/>
        <w:docPartUnique/>
      </w:docPartObj>
    </w:sdtPr>
    <w:sdtEndPr>
      <w:rPr>
        <w:noProof/>
      </w:rPr>
    </w:sdtEndPr>
    <w:sdtContent>
      <w:p w14:paraId="7C71326F" w14:textId="6FF1C668" w:rsidR="008001BB" w:rsidRDefault="00800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F656EA" w14:textId="77777777" w:rsidR="008001BB" w:rsidRDefault="00800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09557"/>
      <w:docPartObj>
        <w:docPartGallery w:val="Page Numbers (Bottom of Page)"/>
        <w:docPartUnique/>
      </w:docPartObj>
    </w:sdtPr>
    <w:sdtEndPr>
      <w:rPr>
        <w:noProof/>
      </w:rPr>
    </w:sdtEndPr>
    <w:sdtContent>
      <w:p w14:paraId="3EE88225" w14:textId="3460D4F2" w:rsidR="008001BB" w:rsidRDefault="008001B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E90EC6" w14:textId="77777777" w:rsidR="008001BB" w:rsidRDefault="00800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34AE3" w14:textId="77777777" w:rsidR="0064488E" w:rsidRDefault="0064488E">
      <w:r>
        <w:separator/>
      </w:r>
    </w:p>
  </w:footnote>
  <w:footnote w:type="continuationSeparator" w:id="0">
    <w:p w14:paraId="1AFCE191" w14:textId="77777777" w:rsidR="0064488E" w:rsidRDefault="00644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C019" w14:textId="4B2C3B46" w:rsidR="00B62A87" w:rsidRDefault="004C2360">
    <w:pPr>
      <w:spacing w:after="120" w:line="276" w:lineRule="auto"/>
      <w:jc w:val="both"/>
      <w:rPr>
        <w:rFonts w:ascii="Arial" w:eastAsia="Arial" w:hAnsi="Arial" w:cs="Arial"/>
        <w:b/>
        <w:sz w:val="18"/>
        <w:szCs w:val="18"/>
      </w:rPr>
    </w:pPr>
    <w:r>
      <w:rPr>
        <w:rFonts w:ascii="Arial" w:eastAsia="Arial" w:hAnsi="Arial" w:cs="Arial"/>
        <w:b/>
        <w:sz w:val="18"/>
        <w:szCs w:val="18"/>
      </w:rPr>
      <w:t xml:space="preserve">Lestari, SU et al, </w:t>
    </w:r>
    <w:r w:rsidRPr="004C2360">
      <w:rPr>
        <w:rFonts w:ascii="Arial" w:eastAsia="Arial" w:hAnsi="Arial" w:cs="Arial"/>
        <w:b/>
        <w:sz w:val="18"/>
        <w:szCs w:val="18"/>
      </w:rPr>
      <w:t>The Asymmetric Impact of Exchange Rates on Indonesia's CPO Export Value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981A4" w14:textId="2944A48A" w:rsidR="00B62A87" w:rsidRDefault="008001BB">
    <w:pPr>
      <w:widowControl w:val="0"/>
      <w:pBdr>
        <w:top w:val="nil"/>
        <w:left w:val="nil"/>
        <w:bottom w:val="nil"/>
        <w:right w:val="nil"/>
        <w:between w:val="nil"/>
      </w:pBdr>
      <w:spacing w:line="276" w:lineRule="auto"/>
      <w:rPr>
        <w:rFonts w:ascii="Arial" w:eastAsia="Arial" w:hAnsi="Arial" w:cs="Arial"/>
        <w:b/>
        <w:sz w:val="18"/>
        <w:szCs w:val="18"/>
      </w:rPr>
    </w:pPr>
    <w:r>
      <w:rPr>
        <w:noProof/>
      </w:rPr>
      <w:drawing>
        <wp:anchor distT="0" distB="0" distL="114300" distR="114300" simplePos="0" relativeHeight="251659264" behindDoc="0" locked="0" layoutInCell="1" hidden="0" allowOverlap="1" wp14:anchorId="49691B99" wp14:editId="1020432B">
          <wp:simplePos x="0" y="0"/>
          <wp:positionH relativeFrom="margin">
            <wp:posOffset>-1270</wp:posOffset>
          </wp:positionH>
          <wp:positionV relativeFrom="paragraph">
            <wp:posOffset>-46355</wp:posOffset>
          </wp:positionV>
          <wp:extent cx="6644640" cy="708660"/>
          <wp:effectExtent l="0" t="0" r="3810" b="0"/>
          <wp:wrapSquare wrapText="bothSides" distT="0" distB="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44640" cy="70866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495AA3"/>
    <w:multiLevelType w:val="multilevel"/>
    <w:tmpl w:val="E18A1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2A4913"/>
    <w:multiLevelType w:val="multilevel"/>
    <w:tmpl w:val="2B3E6E48"/>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A87"/>
    <w:rsid w:val="00007894"/>
    <w:rsid w:val="00012AF3"/>
    <w:rsid w:val="001D64B4"/>
    <w:rsid w:val="00265D5A"/>
    <w:rsid w:val="00303793"/>
    <w:rsid w:val="003076F3"/>
    <w:rsid w:val="0038690C"/>
    <w:rsid w:val="003C79A9"/>
    <w:rsid w:val="003D777F"/>
    <w:rsid w:val="00427D5B"/>
    <w:rsid w:val="004369AC"/>
    <w:rsid w:val="004C2360"/>
    <w:rsid w:val="004D048F"/>
    <w:rsid w:val="00541FB1"/>
    <w:rsid w:val="005D32B2"/>
    <w:rsid w:val="0064488E"/>
    <w:rsid w:val="006A618F"/>
    <w:rsid w:val="006B0213"/>
    <w:rsid w:val="006E2B50"/>
    <w:rsid w:val="007053C4"/>
    <w:rsid w:val="008001BB"/>
    <w:rsid w:val="00806AF8"/>
    <w:rsid w:val="008973DA"/>
    <w:rsid w:val="008F32DB"/>
    <w:rsid w:val="00942BB0"/>
    <w:rsid w:val="009516E1"/>
    <w:rsid w:val="00951C3F"/>
    <w:rsid w:val="00A371D2"/>
    <w:rsid w:val="00AD7AA5"/>
    <w:rsid w:val="00B03F72"/>
    <w:rsid w:val="00B62A87"/>
    <w:rsid w:val="00BE4DEF"/>
    <w:rsid w:val="00C765AA"/>
    <w:rsid w:val="00CA4B2A"/>
    <w:rsid w:val="00CF7203"/>
    <w:rsid w:val="00D25ABD"/>
    <w:rsid w:val="00D83161"/>
    <w:rsid w:val="00D9127C"/>
    <w:rsid w:val="00D93794"/>
    <w:rsid w:val="00DE1568"/>
    <w:rsid w:val="00DF43DC"/>
    <w:rsid w:val="00E4118C"/>
    <w:rsid w:val="00E95814"/>
    <w:rsid w:val="00ED14F1"/>
    <w:rsid w:val="00F15C7A"/>
    <w:rsid w:val="00FA39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8142"/>
  <w15:docId w15:val="{8D9BAC25-0B77-D34D-B4C4-D3AEC6C24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533616"/>
    <w:pPr>
      <w:ind w:left="720"/>
      <w:contextualSpacing/>
    </w:pPr>
  </w:style>
  <w:style w:type="character" w:styleId="Hyperlink">
    <w:name w:val="Hyperlink"/>
    <w:basedOn w:val="DefaultParagraphFont"/>
    <w:uiPriority w:val="99"/>
    <w:unhideWhenUsed/>
    <w:rsid w:val="00CC60AA"/>
    <w:rPr>
      <w:color w:val="0000FF" w:themeColor="hyperlink"/>
      <w:u w:val="single"/>
    </w:rPr>
  </w:style>
  <w:style w:type="paragraph" w:styleId="Header">
    <w:name w:val="header"/>
    <w:basedOn w:val="Normal"/>
    <w:link w:val="HeaderChar"/>
    <w:uiPriority w:val="99"/>
    <w:unhideWhenUsed/>
    <w:rsid w:val="0032161E"/>
    <w:pPr>
      <w:tabs>
        <w:tab w:val="center" w:pos="4513"/>
        <w:tab w:val="right" w:pos="9026"/>
      </w:tabs>
    </w:pPr>
  </w:style>
  <w:style w:type="character" w:customStyle="1" w:styleId="HeaderChar">
    <w:name w:val="Header Char"/>
    <w:basedOn w:val="DefaultParagraphFont"/>
    <w:link w:val="Header"/>
    <w:uiPriority w:val="99"/>
    <w:rsid w:val="0032161E"/>
  </w:style>
  <w:style w:type="paragraph" w:styleId="Footer">
    <w:name w:val="footer"/>
    <w:basedOn w:val="Normal"/>
    <w:link w:val="FooterChar"/>
    <w:uiPriority w:val="99"/>
    <w:unhideWhenUsed/>
    <w:rsid w:val="0032161E"/>
    <w:pPr>
      <w:tabs>
        <w:tab w:val="center" w:pos="4513"/>
        <w:tab w:val="right" w:pos="9026"/>
      </w:tabs>
    </w:pPr>
  </w:style>
  <w:style w:type="character" w:customStyle="1" w:styleId="FooterChar">
    <w:name w:val="Footer Char"/>
    <w:basedOn w:val="DefaultParagraphFont"/>
    <w:link w:val="Footer"/>
    <w:uiPriority w:val="99"/>
    <w:rsid w:val="0032161E"/>
  </w:style>
  <w:style w:type="table" w:customStyle="1" w:styleId="PlainTable11">
    <w:name w:val="Plain Table 11"/>
    <w:basedOn w:val="TableNormal"/>
    <w:next w:val="TableNormal"/>
    <w:uiPriority w:val="41"/>
    <w:rsid w:val="0032161E"/>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paragraph" w:customStyle="1" w:styleId="Textparagraph">
    <w:name w:val="Text paragraph"/>
    <w:basedOn w:val="Normal"/>
    <w:link w:val="TextparagraphChar"/>
    <w:qFormat/>
    <w:rsid w:val="0032161E"/>
    <w:pPr>
      <w:tabs>
        <w:tab w:val="left" w:pos="567"/>
      </w:tabs>
      <w:ind w:firstLine="567"/>
      <w:jc w:val="both"/>
    </w:pPr>
    <w:rPr>
      <w:sz w:val="22"/>
      <w:szCs w:val="24"/>
    </w:rPr>
  </w:style>
  <w:style w:type="character" w:customStyle="1" w:styleId="TextparagraphChar">
    <w:name w:val="Text paragraph Char"/>
    <w:basedOn w:val="DefaultParagraphFont"/>
    <w:link w:val="Textparagraph"/>
    <w:locked/>
    <w:rsid w:val="0032161E"/>
    <w:rPr>
      <w:sz w:val="22"/>
      <w:szCs w:val="24"/>
    </w:rPr>
  </w:style>
  <w:style w:type="paragraph" w:customStyle="1" w:styleId="IEEEHeading2">
    <w:name w:val="IEEE Heading 2"/>
    <w:basedOn w:val="Normal"/>
    <w:next w:val="IEEEParagraph"/>
    <w:rsid w:val="001764CC"/>
    <w:pPr>
      <w:numPr>
        <w:numId w:val="2"/>
      </w:numPr>
      <w:adjustRightInd w:val="0"/>
      <w:snapToGrid w:val="0"/>
      <w:spacing w:before="150" w:after="60"/>
      <w:ind w:left="289" w:hanging="289"/>
    </w:pPr>
    <w:rPr>
      <w:rFonts w:eastAsia="SimSun"/>
      <w:i/>
      <w:szCs w:val="24"/>
      <w:lang w:val="en-AU" w:eastAsia="zh-CN"/>
    </w:rPr>
  </w:style>
  <w:style w:type="paragraph" w:customStyle="1" w:styleId="IEEEParagraph">
    <w:name w:val="IEEE Paragraph"/>
    <w:basedOn w:val="Normal"/>
    <w:link w:val="IEEEParagraphChar"/>
    <w:rsid w:val="001764CC"/>
    <w:pPr>
      <w:adjustRightInd w:val="0"/>
      <w:snapToGrid w:val="0"/>
      <w:ind w:firstLine="216"/>
      <w:jc w:val="both"/>
    </w:pPr>
    <w:rPr>
      <w:rFonts w:eastAsia="SimSun"/>
      <w:szCs w:val="24"/>
      <w:lang w:val="en-AU" w:eastAsia="zh-CN"/>
    </w:rPr>
  </w:style>
  <w:style w:type="character" w:customStyle="1" w:styleId="IEEEParagraphChar">
    <w:name w:val="IEEE Paragraph Char"/>
    <w:link w:val="IEEEParagraph"/>
    <w:rsid w:val="001764CC"/>
    <w:rPr>
      <w:rFonts w:eastAsia="SimSun"/>
      <w:szCs w:val="24"/>
      <w:lang w:val="en-AU" w:eastAsia="zh-CN"/>
    </w:rPr>
  </w:style>
  <w:style w:type="paragraph" w:customStyle="1" w:styleId="tablecolhead">
    <w:name w:val="table col head"/>
    <w:basedOn w:val="Normal"/>
    <w:rsid w:val="001764CC"/>
    <w:pPr>
      <w:jc w:val="center"/>
    </w:pPr>
    <w:rPr>
      <w:rFonts w:eastAsia="SimSun"/>
      <w:b/>
      <w:bCs/>
      <w:sz w:val="16"/>
      <w:szCs w:val="16"/>
    </w:rPr>
  </w:style>
  <w:style w:type="paragraph" w:customStyle="1" w:styleId="References">
    <w:name w:val="References"/>
    <w:basedOn w:val="Normal"/>
    <w:rsid w:val="00193208"/>
    <w:pPr>
      <w:tabs>
        <w:tab w:val="num" w:pos="720"/>
      </w:tabs>
      <w:spacing w:after="80"/>
      <w:ind w:left="720" w:hanging="720"/>
    </w:pPr>
    <w:rPr>
      <w:sz w:val="18"/>
    </w:rPr>
  </w:style>
  <w:style w:type="character" w:styleId="Strong">
    <w:name w:val="Strong"/>
    <w:basedOn w:val="DefaultParagraphFont"/>
    <w:uiPriority w:val="22"/>
    <w:qFormat/>
    <w:rsid w:val="00D50BB7"/>
    <w:rPr>
      <w:b/>
      <w:bCs/>
    </w:rPr>
  </w:style>
  <w:style w:type="character" w:customStyle="1" w:styleId="value">
    <w:name w:val="value"/>
    <w:basedOn w:val="DefaultParagraphFont"/>
    <w:rsid w:val="00D50BB7"/>
  </w:style>
  <w:style w:type="character" w:styleId="UnresolvedMention">
    <w:name w:val="Unresolved Mention"/>
    <w:basedOn w:val="DefaultParagraphFont"/>
    <w:uiPriority w:val="99"/>
    <w:semiHidden/>
    <w:unhideWhenUsed/>
    <w:rsid w:val="00D50BB7"/>
    <w:rPr>
      <w:color w:val="605E5C"/>
      <w:shd w:val="clear" w:color="auto" w:fill="E1DFDD"/>
    </w:rPr>
  </w:style>
  <w:style w:type="paragraph" w:styleId="NormalWeb">
    <w:name w:val="Normal (Web)"/>
    <w:basedOn w:val="Normal"/>
    <w:uiPriority w:val="99"/>
    <w:unhideWhenUsed/>
    <w:rsid w:val="00310032"/>
    <w:pPr>
      <w:spacing w:before="100" w:beforeAutospacing="1" w:after="100" w:afterAutospacing="1"/>
    </w:pPr>
    <w:rPr>
      <w:sz w:val="24"/>
      <w:szCs w:val="24"/>
    </w:rPr>
  </w:style>
  <w:style w:type="character" w:customStyle="1" w:styleId="apple-tab-span">
    <w:name w:val="apple-tab-span"/>
    <w:basedOn w:val="DefaultParagraphFont"/>
    <w:rsid w:val="00F53372"/>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rPr>
      <w:sz w:val="22"/>
      <w:szCs w:val="22"/>
    </w:rPr>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39"/>
    <w:rsid w:val="004369AC"/>
    <w:rPr>
      <w:rFonts w:asciiTheme="minorHAnsi" w:eastAsiaTheme="minorHAnsi" w:hAnsiTheme="minorHAnsi" w:cstheme="minorBidi"/>
      <w:kern w:val="2"/>
      <w:sz w:val="24"/>
      <w:szCs w:val="24"/>
      <w:lang w:val="id-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61501">
      <w:bodyDiv w:val="1"/>
      <w:marLeft w:val="0"/>
      <w:marRight w:val="0"/>
      <w:marTop w:val="0"/>
      <w:marBottom w:val="0"/>
      <w:divBdr>
        <w:top w:val="none" w:sz="0" w:space="0" w:color="auto"/>
        <w:left w:val="none" w:sz="0" w:space="0" w:color="auto"/>
        <w:bottom w:val="none" w:sz="0" w:space="0" w:color="auto"/>
        <w:right w:val="none" w:sz="0" w:space="0" w:color="auto"/>
      </w:divBdr>
    </w:div>
    <w:div w:id="1695181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0-1707-3685"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riutamilestari@unja.ac.id" TargetMode="External"/><Relationship Id="rId10" Type="http://schemas.openxmlformats.org/officeDocument/2006/relationships/hyperlink" Target="https://orcid.org/0009-0007-4806-4117" TargetMode="External"/><Relationship Id="rId4" Type="http://schemas.openxmlformats.org/officeDocument/2006/relationships/settings" Target="settings.xml"/><Relationship Id="rId9" Type="http://schemas.openxmlformats.org/officeDocument/2006/relationships/hyperlink" Target="https://orcid.org/0000-0003-3927-25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Users\sriutamilestari\Documents\research\data%20penelitian\NARDL%20sawit%20ER%20indo\Tabulas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900"/>
              <a:t>The Exchange Rate (IDR/USD) Relationship with Indonesia's CPO Export Value to the Global Market from 2018 to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quartely!$M$1</c:f>
              <c:strCache>
                <c:ptCount val="1"/>
                <c:pt idx="0">
                  <c:v>Nilai Ekspor CPO Ind/World </c:v>
                </c:pt>
              </c:strCache>
            </c:strRef>
          </c:tx>
          <c:spPr>
            <a:ln w="28575" cap="rnd">
              <a:solidFill>
                <a:schemeClr val="accent2"/>
              </a:solidFill>
              <a:round/>
            </a:ln>
            <a:effectLst/>
          </c:spPr>
          <c:marker>
            <c:symbol val="none"/>
          </c:marker>
          <c:cat>
            <c:strRef>
              <c:f>quartely!$K$2:$K$25</c:f>
              <c:strCache>
                <c:ptCount val="24"/>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pt idx="19">
                  <c:v>2022Q4</c:v>
                </c:pt>
                <c:pt idx="20">
                  <c:v>2023Q1</c:v>
                </c:pt>
                <c:pt idx="21">
                  <c:v>2023Q2</c:v>
                </c:pt>
                <c:pt idx="22">
                  <c:v>2023Q3</c:v>
                </c:pt>
                <c:pt idx="23">
                  <c:v>2023Q4</c:v>
                </c:pt>
              </c:strCache>
            </c:strRef>
          </c:cat>
          <c:val>
            <c:numRef>
              <c:f>quartely!$M$2:$M$25</c:f>
              <c:numCache>
                <c:formatCode>General</c:formatCode>
                <c:ptCount val="24"/>
                <c:pt idx="0">
                  <c:v>719475</c:v>
                </c:pt>
                <c:pt idx="1">
                  <c:v>563704</c:v>
                </c:pt>
                <c:pt idx="2">
                  <c:v>1128347</c:v>
                </c:pt>
                <c:pt idx="3">
                  <c:v>1165299</c:v>
                </c:pt>
                <c:pt idx="4">
                  <c:v>851744</c:v>
                </c:pt>
                <c:pt idx="5">
                  <c:v>660517</c:v>
                </c:pt>
                <c:pt idx="6">
                  <c:v>909492</c:v>
                </c:pt>
                <c:pt idx="7">
                  <c:v>1218357</c:v>
                </c:pt>
                <c:pt idx="8">
                  <c:v>1279963</c:v>
                </c:pt>
                <c:pt idx="9">
                  <c:v>1010789</c:v>
                </c:pt>
                <c:pt idx="10">
                  <c:v>1058941</c:v>
                </c:pt>
                <c:pt idx="11">
                  <c:v>1393873</c:v>
                </c:pt>
                <c:pt idx="12">
                  <c:v>850786</c:v>
                </c:pt>
                <c:pt idx="13">
                  <c:v>573882</c:v>
                </c:pt>
                <c:pt idx="14">
                  <c:v>946673</c:v>
                </c:pt>
                <c:pt idx="15">
                  <c:v>322238</c:v>
                </c:pt>
                <c:pt idx="16">
                  <c:v>224336</c:v>
                </c:pt>
                <c:pt idx="17">
                  <c:v>251776</c:v>
                </c:pt>
                <c:pt idx="18">
                  <c:v>1414715</c:v>
                </c:pt>
                <c:pt idx="19">
                  <c:v>1519300</c:v>
                </c:pt>
                <c:pt idx="20">
                  <c:v>499232</c:v>
                </c:pt>
                <c:pt idx="21">
                  <c:v>597585</c:v>
                </c:pt>
                <c:pt idx="22">
                  <c:v>1151784</c:v>
                </c:pt>
                <c:pt idx="23">
                  <c:v>806533</c:v>
                </c:pt>
              </c:numCache>
            </c:numRef>
          </c:val>
          <c:smooth val="0"/>
          <c:extLst>
            <c:ext xmlns:c16="http://schemas.microsoft.com/office/drawing/2014/chart" uri="{C3380CC4-5D6E-409C-BE32-E72D297353CC}">
              <c16:uniqueId val="{00000000-680A-B849-B946-0785B2204A5D}"/>
            </c:ext>
          </c:extLst>
        </c:ser>
        <c:dLbls>
          <c:showLegendKey val="0"/>
          <c:showVal val="0"/>
          <c:showCatName val="0"/>
          <c:showSerName val="0"/>
          <c:showPercent val="0"/>
          <c:showBubbleSize val="0"/>
        </c:dLbls>
        <c:marker val="1"/>
        <c:smooth val="0"/>
        <c:axId val="731719920"/>
        <c:axId val="731721712"/>
      </c:lineChart>
      <c:lineChart>
        <c:grouping val="standard"/>
        <c:varyColors val="0"/>
        <c:ser>
          <c:idx val="0"/>
          <c:order val="0"/>
          <c:tx>
            <c:strRef>
              <c:f>quartely!$L$1</c:f>
              <c:strCache>
                <c:ptCount val="1"/>
                <c:pt idx="0">
                  <c:v>Domestic Currency per U.S. Dollar, End of Period</c:v>
                </c:pt>
              </c:strCache>
            </c:strRef>
          </c:tx>
          <c:spPr>
            <a:ln w="28575" cap="rnd">
              <a:solidFill>
                <a:schemeClr val="accent1"/>
              </a:solidFill>
              <a:round/>
            </a:ln>
            <a:effectLst/>
          </c:spPr>
          <c:marker>
            <c:symbol val="none"/>
          </c:marker>
          <c:cat>
            <c:strRef>
              <c:f>quartely!$K$2:$K$25</c:f>
              <c:strCache>
                <c:ptCount val="24"/>
                <c:pt idx="0">
                  <c:v>2018Q1</c:v>
                </c:pt>
                <c:pt idx="1">
                  <c:v>2018Q2</c:v>
                </c:pt>
                <c:pt idx="2">
                  <c:v>2018Q3</c:v>
                </c:pt>
                <c:pt idx="3">
                  <c:v>2018Q4</c:v>
                </c:pt>
                <c:pt idx="4">
                  <c:v>2019Q1</c:v>
                </c:pt>
                <c:pt idx="5">
                  <c:v>2019Q2</c:v>
                </c:pt>
                <c:pt idx="6">
                  <c:v>2019Q3</c:v>
                </c:pt>
                <c:pt idx="7">
                  <c:v>2019Q4</c:v>
                </c:pt>
                <c:pt idx="8">
                  <c:v>2020Q1</c:v>
                </c:pt>
                <c:pt idx="9">
                  <c:v>2020Q2</c:v>
                </c:pt>
                <c:pt idx="10">
                  <c:v>2020Q3</c:v>
                </c:pt>
                <c:pt idx="11">
                  <c:v>2020Q4</c:v>
                </c:pt>
                <c:pt idx="12">
                  <c:v>2021Q1</c:v>
                </c:pt>
                <c:pt idx="13">
                  <c:v>2021Q2</c:v>
                </c:pt>
                <c:pt idx="14">
                  <c:v>2021Q3</c:v>
                </c:pt>
                <c:pt idx="15">
                  <c:v>2021Q4</c:v>
                </c:pt>
                <c:pt idx="16">
                  <c:v>2022Q1</c:v>
                </c:pt>
                <c:pt idx="17">
                  <c:v>2022Q2</c:v>
                </c:pt>
                <c:pt idx="18">
                  <c:v>2022Q3</c:v>
                </c:pt>
                <c:pt idx="19">
                  <c:v>2022Q4</c:v>
                </c:pt>
                <c:pt idx="20">
                  <c:v>2023Q1</c:v>
                </c:pt>
                <c:pt idx="21">
                  <c:v>2023Q2</c:v>
                </c:pt>
                <c:pt idx="22">
                  <c:v>2023Q3</c:v>
                </c:pt>
                <c:pt idx="23">
                  <c:v>2023Q4</c:v>
                </c:pt>
              </c:strCache>
            </c:strRef>
          </c:cat>
          <c:val>
            <c:numRef>
              <c:f>quartely!$L$2:$L$25</c:f>
              <c:numCache>
                <c:formatCode>#,##0.00</c:formatCode>
                <c:ptCount val="24"/>
                <c:pt idx="0">
                  <c:v>13756</c:v>
                </c:pt>
                <c:pt idx="1">
                  <c:v>14404</c:v>
                </c:pt>
                <c:pt idx="2">
                  <c:v>14929</c:v>
                </c:pt>
                <c:pt idx="3">
                  <c:v>14481</c:v>
                </c:pt>
                <c:pt idx="4">
                  <c:v>14244</c:v>
                </c:pt>
                <c:pt idx="5">
                  <c:v>14141</c:v>
                </c:pt>
                <c:pt idx="6">
                  <c:v>14174</c:v>
                </c:pt>
                <c:pt idx="7">
                  <c:v>13901.004999999999</c:v>
                </c:pt>
                <c:pt idx="8">
                  <c:v>16367.004999999999</c:v>
                </c:pt>
                <c:pt idx="9">
                  <c:v>14302</c:v>
                </c:pt>
                <c:pt idx="10">
                  <c:v>14918</c:v>
                </c:pt>
                <c:pt idx="11">
                  <c:v>14105.004999999999</c:v>
                </c:pt>
                <c:pt idx="12">
                  <c:v>14572</c:v>
                </c:pt>
                <c:pt idx="13">
                  <c:v>14496</c:v>
                </c:pt>
                <c:pt idx="14">
                  <c:v>14307.004999999999</c:v>
                </c:pt>
                <c:pt idx="15">
                  <c:v>14269.004999999999</c:v>
                </c:pt>
                <c:pt idx="16">
                  <c:v>14349.004999999999</c:v>
                </c:pt>
                <c:pt idx="17">
                  <c:v>14848</c:v>
                </c:pt>
                <c:pt idx="18">
                  <c:v>15247</c:v>
                </c:pt>
                <c:pt idx="19">
                  <c:v>15731</c:v>
                </c:pt>
                <c:pt idx="20">
                  <c:v>15062</c:v>
                </c:pt>
                <c:pt idx="21">
                  <c:v>15026</c:v>
                </c:pt>
                <c:pt idx="22">
                  <c:v>15526</c:v>
                </c:pt>
                <c:pt idx="23">
                  <c:v>15416</c:v>
                </c:pt>
              </c:numCache>
            </c:numRef>
          </c:val>
          <c:smooth val="0"/>
          <c:extLst>
            <c:ext xmlns:c16="http://schemas.microsoft.com/office/drawing/2014/chart" uri="{C3380CC4-5D6E-409C-BE32-E72D297353CC}">
              <c16:uniqueId val="{00000001-680A-B849-B946-0785B2204A5D}"/>
            </c:ext>
          </c:extLst>
        </c:ser>
        <c:dLbls>
          <c:showLegendKey val="0"/>
          <c:showVal val="0"/>
          <c:showCatName val="0"/>
          <c:showSerName val="0"/>
          <c:showPercent val="0"/>
          <c:showBubbleSize val="0"/>
        </c:dLbls>
        <c:marker val="1"/>
        <c:smooth val="0"/>
        <c:axId val="731750272"/>
        <c:axId val="731747264"/>
      </c:lineChart>
      <c:catAx>
        <c:axId val="7317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721712"/>
        <c:crosses val="autoZero"/>
        <c:auto val="1"/>
        <c:lblAlgn val="ctr"/>
        <c:lblOffset val="100"/>
        <c:noMultiLvlLbl val="0"/>
      </c:catAx>
      <c:valAx>
        <c:axId val="73172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719920"/>
        <c:crosses val="autoZero"/>
        <c:crossBetween val="between"/>
      </c:valAx>
      <c:valAx>
        <c:axId val="7317472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750272"/>
        <c:crosses val="max"/>
        <c:crossBetween val="between"/>
      </c:valAx>
      <c:catAx>
        <c:axId val="731750272"/>
        <c:scaling>
          <c:orientation val="minMax"/>
        </c:scaling>
        <c:delete val="1"/>
        <c:axPos val="b"/>
        <c:numFmt formatCode="General" sourceLinked="1"/>
        <c:majorTickMark val="out"/>
        <c:minorTickMark val="none"/>
        <c:tickLblPos val="nextTo"/>
        <c:crossAx val="731747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k5fmKuqU2YkrvMIC3LO+H04hIw==">CgMxLjAyCGguZ2pkZ3hzOAByITFiRzlNRzE1MDdLaHVGdzgzcW5oVXNocDhmN3ZuQ2FNeQ==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5424</Words>
  <Characters>30920</Characters>
  <Application>Microsoft Office Word</Application>
  <DocSecurity>0</DocSecurity>
  <Lines>257</Lines>
  <Paragraphs>72</Paragraphs>
  <ScaleCrop>false</ScaleCrop>
  <Company/>
  <LinksUpToDate>false</LinksUpToDate>
  <CharactersWithSpaces>36272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REKTORAT</dc:creator>
  <cp:lastModifiedBy>Endy Effran</cp:lastModifiedBy>
  <cp:revision>3</cp:revision>
  <cp:lastPrinted>2025-01-06T06:15:00Z</cp:lastPrinted>
  <dcterms:created xsi:type="dcterms:W3CDTF">2025-01-20T10:46:00Z</dcterms:created>
  <dcterms:modified xsi:type="dcterms:W3CDTF">2025-01-20T10:48:00Z</dcterms:modified>
</cp:coreProperties>
</file>