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7D5C" w14:textId="77777777" w:rsidR="00E24085" w:rsidRDefault="00E24085" w:rsidP="00E24085">
      <w:pPr>
        <w:spacing w:after="0" w:line="240" w:lineRule="auto"/>
        <w:rPr>
          <w:rFonts w:ascii="Arial" w:eastAsia="Arial" w:hAnsi="Arial" w:cs="Arial"/>
          <w:i/>
          <w:sz w:val="18"/>
          <w:szCs w:val="18"/>
        </w:rPr>
      </w:pPr>
      <w:r>
        <w:rPr>
          <w:noProof/>
        </w:rPr>
        <w:drawing>
          <wp:anchor distT="0" distB="0" distL="114300" distR="114300" simplePos="0" relativeHeight="251659264" behindDoc="0" locked="0" layoutInCell="1" allowOverlap="1" wp14:anchorId="4682CCAE" wp14:editId="22F313FE">
            <wp:simplePos x="0" y="0"/>
            <wp:positionH relativeFrom="column">
              <wp:posOffset>-901700</wp:posOffset>
            </wp:positionH>
            <wp:positionV relativeFrom="paragraph">
              <wp:posOffset>-901700</wp:posOffset>
            </wp:positionV>
            <wp:extent cx="7537637" cy="1193800"/>
            <wp:effectExtent l="0" t="0" r="6350" b="6350"/>
            <wp:wrapNone/>
            <wp:docPr id="21080976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37637" cy="1193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621E18" w14:textId="77777777" w:rsidR="00E24085" w:rsidRDefault="00E24085" w:rsidP="00E24085">
      <w:pPr>
        <w:spacing w:after="0" w:line="240" w:lineRule="auto"/>
        <w:rPr>
          <w:rFonts w:ascii="Arial" w:eastAsia="Arial" w:hAnsi="Arial" w:cs="Arial"/>
          <w:i/>
          <w:sz w:val="18"/>
          <w:szCs w:val="18"/>
        </w:rPr>
      </w:pPr>
    </w:p>
    <w:p w14:paraId="3D29593C" w14:textId="77777777" w:rsidR="00E24085" w:rsidRDefault="00E24085" w:rsidP="00E24085">
      <w:pPr>
        <w:spacing w:after="0" w:line="240" w:lineRule="auto"/>
        <w:rPr>
          <w:rFonts w:ascii="Arial" w:eastAsia="Arial" w:hAnsi="Arial" w:cs="Arial"/>
          <w:i/>
          <w:sz w:val="18"/>
          <w:szCs w:val="18"/>
        </w:rPr>
      </w:pPr>
    </w:p>
    <w:p w14:paraId="76511674" w14:textId="77777777" w:rsidR="00E24085" w:rsidRPr="00610C14" w:rsidRDefault="00E24085" w:rsidP="00E24085">
      <w:pPr>
        <w:pStyle w:val="Default"/>
        <w:ind w:firstLine="0"/>
        <w:rPr>
          <w:rFonts w:ascii="Arial" w:eastAsia="Times New Roman" w:hAnsi="Arial" w:cs="Arial"/>
          <w:sz w:val="24"/>
          <w:szCs w:val="24"/>
          <w:lang w:val="id-ID" w:eastAsia="en-ID"/>
        </w:rPr>
      </w:pPr>
      <w:r>
        <w:rPr>
          <w:rFonts w:ascii="Arial" w:eastAsia="Arial" w:hAnsi="Arial" w:cs="Arial"/>
          <w:i/>
          <w:sz w:val="18"/>
          <w:szCs w:val="18"/>
        </w:rPr>
        <w:t>Original research article</w:t>
      </w:r>
      <w:r>
        <w:rPr>
          <w:rFonts w:ascii="Arial" w:eastAsia="Arial" w:hAnsi="Arial" w:cs="Arial"/>
          <w:i/>
          <w:sz w:val="18"/>
          <w:szCs w:val="18"/>
        </w:rPr>
        <w:tab/>
      </w:r>
      <w:r>
        <w:rPr>
          <w:rFonts w:ascii="Arial" w:eastAsia="Arial" w:hAnsi="Arial" w:cs="Arial"/>
          <w:i/>
          <w:sz w:val="18"/>
          <w:szCs w:val="18"/>
        </w:rPr>
        <w:tab/>
      </w:r>
      <w:r>
        <w:rPr>
          <w:rFonts w:ascii="Arial" w:eastAsia="Arial" w:hAnsi="Arial" w:cs="Arial"/>
          <w:i/>
          <w:sz w:val="18"/>
          <w:szCs w:val="18"/>
        </w:rPr>
        <w:tab/>
      </w:r>
      <w:r>
        <w:rPr>
          <w:rFonts w:ascii="Arial" w:eastAsia="Arial" w:hAnsi="Arial" w:cs="Arial"/>
          <w:i/>
          <w:sz w:val="18"/>
          <w:szCs w:val="18"/>
        </w:rPr>
        <w:tab/>
      </w:r>
      <w:r>
        <w:rPr>
          <w:rFonts w:ascii="Arial" w:eastAsia="Arial" w:hAnsi="Arial" w:cs="Arial"/>
          <w:i/>
          <w:sz w:val="18"/>
          <w:szCs w:val="18"/>
        </w:rPr>
        <w:tab/>
      </w:r>
      <w:r>
        <w:rPr>
          <w:rFonts w:ascii="Arial" w:eastAsia="Arial" w:hAnsi="Arial" w:cs="Arial"/>
          <w:i/>
          <w:sz w:val="18"/>
          <w:szCs w:val="18"/>
        </w:rPr>
        <w:tab/>
      </w:r>
      <w:r>
        <w:rPr>
          <w:rFonts w:ascii="Arial" w:eastAsia="Arial" w:hAnsi="Arial" w:cs="Arial"/>
          <w:i/>
          <w:sz w:val="18"/>
          <w:szCs w:val="18"/>
        </w:rPr>
        <w:tab/>
      </w:r>
      <w:r w:rsidRPr="00610C14">
        <w:rPr>
          <w:rFonts w:ascii="Arial" w:hAnsi="Arial" w:cs="Arial"/>
          <w:sz w:val="18"/>
          <w:szCs w:val="18"/>
          <w:lang w:val="id-ID" w:eastAsia="en-ID"/>
        </w:rPr>
        <w:t xml:space="preserve">DOI: </w:t>
      </w:r>
      <w:r w:rsidRPr="00E24085">
        <w:rPr>
          <w:rFonts w:ascii="Arial" w:hAnsi="Arial" w:cs="Arial"/>
          <w:sz w:val="18"/>
          <w:szCs w:val="18"/>
          <w:highlight w:val="yellow"/>
          <w:lang w:val="id-ID" w:eastAsia="en-ID"/>
        </w:rPr>
        <w:t>10.22437/joms.v5i2.40840</w:t>
      </w:r>
    </w:p>
    <w:p w14:paraId="1FD7612B" w14:textId="69DEDE39" w:rsidR="00E24085" w:rsidRDefault="00E24085" w:rsidP="00E24085">
      <w:pPr>
        <w:spacing w:after="0" w:line="240" w:lineRule="auto"/>
        <w:jc w:val="both"/>
        <w:rPr>
          <w:rFonts w:ascii="Arial" w:hAnsi="Arial" w:cs="Arial"/>
          <w:b/>
          <w:bCs/>
          <w:sz w:val="28"/>
          <w:szCs w:val="28"/>
        </w:rPr>
      </w:pPr>
      <w:r w:rsidRPr="00E24085">
        <w:rPr>
          <w:rFonts w:ascii="Arial" w:hAnsi="Arial" w:cs="Arial"/>
          <w:b/>
          <w:bCs/>
          <w:sz w:val="28"/>
          <w:szCs w:val="28"/>
        </w:rPr>
        <w:t xml:space="preserve">The Relationship Between Fat Intake </w:t>
      </w:r>
      <w:r>
        <w:rPr>
          <w:rFonts w:ascii="Arial" w:hAnsi="Arial" w:cs="Arial"/>
          <w:b/>
          <w:bCs/>
          <w:sz w:val="28"/>
          <w:szCs w:val="28"/>
          <w:lang w:val="en-US"/>
        </w:rPr>
        <w:t>a</w:t>
      </w:r>
      <w:r w:rsidRPr="00E24085">
        <w:rPr>
          <w:rFonts w:ascii="Arial" w:hAnsi="Arial" w:cs="Arial"/>
          <w:b/>
          <w:bCs/>
          <w:sz w:val="28"/>
          <w:szCs w:val="28"/>
        </w:rPr>
        <w:t xml:space="preserve">nd Obesity </w:t>
      </w:r>
      <w:r>
        <w:rPr>
          <w:rFonts w:ascii="Arial" w:hAnsi="Arial" w:cs="Arial"/>
          <w:b/>
          <w:bCs/>
          <w:sz w:val="28"/>
          <w:szCs w:val="28"/>
          <w:lang w:val="en-US"/>
        </w:rPr>
        <w:t>w</w:t>
      </w:r>
      <w:r w:rsidRPr="00E24085">
        <w:rPr>
          <w:rFonts w:ascii="Arial" w:hAnsi="Arial" w:cs="Arial"/>
          <w:b/>
          <w:bCs/>
          <w:sz w:val="28"/>
          <w:szCs w:val="28"/>
        </w:rPr>
        <w:t xml:space="preserve">ith Hypertension </w:t>
      </w:r>
      <w:r w:rsidR="00D86CC3">
        <w:rPr>
          <w:rFonts w:ascii="Arial" w:hAnsi="Arial" w:cs="Arial"/>
          <w:b/>
          <w:bCs/>
          <w:sz w:val="28"/>
          <w:szCs w:val="28"/>
          <w:lang w:val="en-US"/>
        </w:rPr>
        <w:t>i</w:t>
      </w:r>
      <w:r w:rsidRPr="00E24085">
        <w:rPr>
          <w:rFonts w:ascii="Arial" w:hAnsi="Arial" w:cs="Arial"/>
          <w:b/>
          <w:bCs/>
          <w:sz w:val="28"/>
          <w:szCs w:val="28"/>
        </w:rPr>
        <w:t>n Men Aged 35-54 Years</w:t>
      </w:r>
    </w:p>
    <w:p w14:paraId="24B7805F" w14:textId="77777777" w:rsidR="00E24085" w:rsidRDefault="00E24085" w:rsidP="00E24085">
      <w:pPr>
        <w:pBdr>
          <w:top w:val="nil"/>
          <w:left w:val="nil"/>
          <w:bottom w:val="nil"/>
          <w:right w:val="nil"/>
          <w:between w:val="nil"/>
        </w:pBdr>
        <w:spacing w:after="0" w:line="240" w:lineRule="auto"/>
        <w:rPr>
          <w:rFonts w:ascii="Arial" w:eastAsia="Arial" w:hAnsi="Arial" w:cs="Arial"/>
          <w:b/>
          <w:sz w:val="28"/>
          <w:szCs w:val="28"/>
        </w:rPr>
      </w:pPr>
    </w:p>
    <w:p w14:paraId="3978063E" w14:textId="77777777" w:rsidR="00E24085" w:rsidRDefault="00E24085" w:rsidP="00E24085">
      <w:pPr>
        <w:spacing w:after="0" w:line="240" w:lineRule="auto"/>
        <w:rPr>
          <w:rFonts w:ascii="Arial" w:hAnsi="Arial" w:cs="Arial"/>
          <w:b/>
          <w:bCs/>
          <w:lang w:val="fi-FI"/>
        </w:rPr>
      </w:pPr>
      <w:r w:rsidRPr="00E24085">
        <w:rPr>
          <w:rFonts w:ascii="Arial" w:hAnsi="Arial" w:cs="Arial"/>
          <w:b/>
          <w:bCs/>
          <w:lang w:val="fi-FI"/>
        </w:rPr>
        <w:t>Ariel Keriahen Sembiring</w:t>
      </w:r>
      <w:r w:rsidRPr="00E24085">
        <w:rPr>
          <w:rFonts w:ascii="Arial" w:hAnsi="Arial" w:cs="Arial"/>
          <w:b/>
          <w:bCs/>
          <w:vertAlign w:val="superscript"/>
          <w:lang w:val="fi-FI"/>
        </w:rPr>
        <w:t>1,</w:t>
      </w:r>
      <w:r>
        <w:rPr>
          <w:rFonts w:ascii="Arial" w:hAnsi="Arial" w:cs="Arial"/>
          <w:b/>
          <w:bCs/>
          <w:lang w:val="fi-FI"/>
        </w:rPr>
        <w:t>*</w:t>
      </w:r>
      <w:r w:rsidRPr="00E24085">
        <w:rPr>
          <w:rFonts w:ascii="Arial" w:hAnsi="Arial" w:cs="Arial"/>
          <w:b/>
          <w:bCs/>
          <w:lang w:val="fi-FI"/>
        </w:rPr>
        <w:t>, Fenny Amaliya</w:t>
      </w:r>
      <w:r w:rsidRPr="00E24085">
        <w:rPr>
          <w:rFonts w:ascii="Arial" w:hAnsi="Arial" w:cs="Arial"/>
          <w:b/>
          <w:bCs/>
          <w:vertAlign w:val="superscript"/>
          <w:lang w:val="fi-FI"/>
        </w:rPr>
        <w:t>2</w:t>
      </w:r>
      <w:r w:rsidRPr="00E24085">
        <w:rPr>
          <w:rFonts w:ascii="Arial" w:hAnsi="Arial" w:cs="Arial"/>
          <w:b/>
          <w:bCs/>
          <w:lang w:val="fi-FI"/>
        </w:rPr>
        <w:t>, Mara Imam Taufiq Siregar</w:t>
      </w:r>
      <w:r w:rsidRPr="00E24085">
        <w:rPr>
          <w:rFonts w:ascii="Arial" w:hAnsi="Arial" w:cs="Arial"/>
          <w:b/>
          <w:bCs/>
          <w:vertAlign w:val="superscript"/>
          <w:lang w:val="fi-FI"/>
        </w:rPr>
        <w:t>3</w:t>
      </w:r>
      <w:r w:rsidRPr="00E24085">
        <w:rPr>
          <w:rFonts w:ascii="Arial" w:hAnsi="Arial" w:cs="Arial"/>
          <w:b/>
          <w:bCs/>
          <w:lang w:val="fi-FI"/>
        </w:rPr>
        <w:t>,</w:t>
      </w:r>
    </w:p>
    <w:p w14:paraId="728CFB6B" w14:textId="3ACF0388" w:rsidR="00E24085" w:rsidRDefault="00E24085" w:rsidP="00E24085">
      <w:pPr>
        <w:spacing w:after="0" w:line="240" w:lineRule="auto"/>
        <w:rPr>
          <w:rFonts w:ascii="Arial" w:hAnsi="Arial" w:cs="Arial"/>
          <w:b/>
          <w:bCs/>
          <w:lang w:val="fi-FI"/>
        </w:rPr>
      </w:pPr>
      <w:r w:rsidRPr="00E24085">
        <w:rPr>
          <w:rFonts w:ascii="Arial" w:hAnsi="Arial" w:cs="Arial"/>
          <w:b/>
          <w:bCs/>
          <w:lang w:val="fi-FI"/>
        </w:rPr>
        <w:t>Raihanah Suzan</w:t>
      </w:r>
      <w:r>
        <w:rPr>
          <w:rFonts w:ascii="Arial" w:hAnsi="Arial" w:cs="Arial"/>
          <w:b/>
          <w:bCs/>
          <w:vertAlign w:val="superscript"/>
          <w:lang w:val="fi-FI"/>
        </w:rPr>
        <w:t>4</w:t>
      </w:r>
      <w:r w:rsidRPr="00E24085">
        <w:rPr>
          <w:rFonts w:ascii="Arial" w:hAnsi="Arial" w:cs="Arial"/>
          <w:b/>
          <w:bCs/>
          <w:lang w:val="fi-FI"/>
        </w:rPr>
        <w:t>, Rita Halim</w:t>
      </w:r>
      <w:r>
        <w:rPr>
          <w:rFonts w:ascii="Arial" w:hAnsi="Arial" w:cs="Arial"/>
          <w:b/>
          <w:bCs/>
          <w:vertAlign w:val="superscript"/>
          <w:lang w:val="fi-FI"/>
        </w:rPr>
        <w:t>4</w:t>
      </w:r>
    </w:p>
    <w:p w14:paraId="3B452EFB" w14:textId="1447D8A0" w:rsidR="00E24085" w:rsidRPr="00E24085" w:rsidRDefault="00E24085" w:rsidP="00E24085">
      <w:pPr>
        <w:spacing w:after="0" w:line="240" w:lineRule="auto"/>
        <w:rPr>
          <w:rFonts w:ascii="Arial" w:eastAsia="Arial" w:hAnsi="Arial" w:cs="Arial"/>
          <w:i/>
          <w:iCs/>
          <w:sz w:val="18"/>
          <w:szCs w:val="18"/>
        </w:rPr>
      </w:pPr>
      <w:r w:rsidRPr="00E24085">
        <w:rPr>
          <w:rFonts w:ascii="Arial" w:eastAsia="Arial" w:hAnsi="Arial" w:cs="Arial"/>
          <w:i/>
          <w:iCs/>
          <w:sz w:val="18"/>
          <w:szCs w:val="18"/>
          <w:vertAlign w:val="superscript"/>
        </w:rPr>
        <w:t>1</w:t>
      </w:r>
      <w:r w:rsidRPr="00E24085">
        <w:rPr>
          <w:rFonts w:ascii="Arial" w:eastAsia="Arial" w:hAnsi="Arial" w:cs="Arial"/>
          <w:i/>
          <w:iCs/>
          <w:sz w:val="18"/>
          <w:szCs w:val="18"/>
        </w:rPr>
        <w:t xml:space="preserve"> Bachelor of Medicine Program, Faculty of Medicine and Health Science, Universitas Jambi</w:t>
      </w:r>
    </w:p>
    <w:p w14:paraId="68282946" w14:textId="77777777" w:rsidR="00E24085" w:rsidRPr="00E24085" w:rsidRDefault="00E24085" w:rsidP="00E24085">
      <w:pPr>
        <w:spacing w:after="0" w:line="240" w:lineRule="auto"/>
        <w:rPr>
          <w:rFonts w:ascii="Arial" w:eastAsia="Arial" w:hAnsi="Arial" w:cs="Arial"/>
          <w:i/>
          <w:iCs/>
          <w:sz w:val="18"/>
          <w:szCs w:val="18"/>
        </w:rPr>
      </w:pPr>
      <w:r w:rsidRPr="00E24085">
        <w:rPr>
          <w:rFonts w:ascii="Arial" w:eastAsia="Arial" w:hAnsi="Arial" w:cs="Arial"/>
          <w:i/>
          <w:iCs/>
          <w:sz w:val="18"/>
          <w:szCs w:val="18"/>
          <w:vertAlign w:val="superscript"/>
        </w:rPr>
        <w:t>2</w:t>
      </w:r>
      <w:r w:rsidRPr="00E24085">
        <w:rPr>
          <w:rFonts w:ascii="Arial" w:eastAsia="Arial" w:hAnsi="Arial" w:cs="Arial"/>
          <w:i/>
          <w:iCs/>
          <w:sz w:val="18"/>
          <w:szCs w:val="18"/>
        </w:rPr>
        <w:t xml:space="preserve"> Department of Nutrition Science, Faculty of Medicine and Health Sciences, Universitas Jambi/RSUD Raden Mattaher </w:t>
      </w:r>
    </w:p>
    <w:p w14:paraId="733FAC29" w14:textId="234E3689" w:rsidR="00E24085" w:rsidRDefault="00E24085" w:rsidP="00E24085">
      <w:pPr>
        <w:spacing w:after="0" w:line="240" w:lineRule="auto"/>
        <w:rPr>
          <w:rFonts w:ascii="Arial" w:eastAsia="Arial" w:hAnsi="Arial" w:cs="Arial"/>
          <w:i/>
          <w:iCs/>
          <w:sz w:val="18"/>
          <w:szCs w:val="18"/>
        </w:rPr>
      </w:pPr>
      <w:r w:rsidRPr="00E24085">
        <w:rPr>
          <w:rFonts w:ascii="Arial" w:eastAsia="Arial" w:hAnsi="Arial" w:cs="Arial"/>
          <w:i/>
          <w:iCs/>
          <w:sz w:val="18"/>
          <w:szCs w:val="18"/>
          <w:vertAlign w:val="superscript"/>
        </w:rPr>
        <w:t>3</w:t>
      </w:r>
      <w:r w:rsidRPr="00E24085">
        <w:rPr>
          <w:rFonts w:ascii="Arial" w:eastAsia="Arial" w:hAnsi="Arial" w:cs="Arial"/>
          <w:i/>
          <w:iCs/>
          <w:sz w:val="18"/>
          <w:szCs w:val="18"/>
        </w:rPr>
        <w:t xml:space="preserve"> Department of Anesthesiology, Faculty of Medicine and Health Sciences, Universitas Jambi/RSUD Raden Mattaher</w:t>
      </w:r>
    </w:p>
    <w:p w14:paraId="0A8EF965" w14:textId="06557732" w:rsidR="00E24085" w:rsidRPr="00E24085" w:rsidRDefault="00E24085" w:rsidP="00E24085">
      <w:pPr>
        <w:spacing w:after="0" w:line="240" w:lineRule="auto"/>
        <w:rPr>
          <w:rFonts w:ascii="Arial" w:eastAsia="Arial" w:hAnsi="Arial" w:cs="Arial"/>
          <w:i/>
          <w:iCs/>
          <w:sz w:val="18"/>
          <w:szCs w:val="18"/>
          <w:lang w:val="en-US"/>
        </w:rPr>
      </w:pPr>
      <w:r w:rsidRPr="00E24085">
        <w:rPr>
          <w:rFonts w:ascii="Arial" w:eastAsia="Arial" w:hAnsi="Arial" w:cs="Arial"/>
          <w:i/>
          <w:iCs/>
          <w:sz w:val="18"/>
          <w:szCs w:val="18"/>
          <w:vertAlign w:val="superscript"/>
          <w:lang w:val="en-US"/>
        </w:rPr>
        <w:t>4</w:t>
      </w:r>
      <w:r w:rsidRPr="00E24085">
        <w:rPr>
          <w:rFonts w:ascii="Arial" w:eastAsia="Arial" w:hAnsi="Arial" w:cs="Arial"/>
          <w:i/>
          <w:iCs/>
          <w:sz w:val="18"/>
          <w:szCs w:val="18"/>
        </w:rPr>
        <w:t xml:space="preserve"> Department of Nutrition Science, Faculty of Medicine and Health Sciences, Universitas Jambi</w:t>
      </w:r>
    </w:p>
    <w:p w14:paraId="30FD0841" w14:textId="24FDD903" w:rsidR="00E24085" w:rsidRPr="00E560AF" w:rsidRDefault="00E24085" w:rsidP="00E24085">
      <w:pPr>
        <w:spacing w:after="0" w:line="240" w:lineRule="auto"/>
        <w:rPr>
          <w:rFonts w:ascii="Arial" w:eastAsia="Arial" w:hAnsi="Arial" w:cs="Arial"/>
          <w:iCs/>
          <w:sz w:val="18"/>
        </w:rPr>
      </w:pPr>
      <w:r w:rsidRPr="00E24085">
        <w:rPr>
          <w:rFonts w:ascii="Arial" w:eastAsia="Arial" w:hAnsi="Arial" w:cs="Arial"/>
          <w:i/>
          <w:iCs/>
          <w:sz w:val="18"/>
          <w:szCs w:val="18"/>
          <w:vertAlign w:val="superscript"/>
        </w:rPr>
        <w:t xml:space="preserve"> </w:t>
      </w:r>
      <w:r>
        <w:rPr>
          <w:rFonts w:ascii="Arial" w:eastAsia="Arial" w:hAnsi="Arial" w:cs="Arial"/>
          <w:iCs/>
          <w:sz w:val="18"/>
          <w:szCs w:val="18"/>
        </w:rPr>
        <w:t>*</w:t>
      </w:r>
      <w:r w:rsidRPr="00FC4B62">
        <w:rPr>
          <w:rFonts w:ascii="Arial" w:eastAsia="Arial" w:hAnsi="Arial" w:cs="Arial"/>
          <w:iCs/>
          <w:sz w:val="18"/>
          <w:szCs w:val="18"/>
        </w:rPr>
        <w:t>Correspondence</w:t>
      </w:r>
      <w:r w:rsidRPr="0078691D">
        <w:rPr>
          <w:rFonts w:ascii="Arial" w:eastAsia="Arial" w:hAnsi="Arial" w:cs="Arial"/>
          <w:iCs/>
          <w:sz w:val="18"/>
        </w:rPr>
        <w:t>:</w:t>
      </w:r>
      <w:r>
        <w:rPr>
          <w:rFonts w:ascii="Arial" w:eastAsia="Arial" w:hAnsi="Arial" w:cs="Arial"/>
          <w:i/>
          <w:sz w:val="18"/>
        </w:rPr>
        <w:t xml:space="preserve"> </w:t>
      </w:r>
      <w:hyperlink r:id="rId8" w:history="1">
        <w:r w:rsidRPr="00A27916">
          <w:rPr>
            <w:rStyle w:val="Hyperlink"/>
            <w:rFonts w:ascii="Arial" w:hAnsi="Arial" w:cs="Arial"/>
            <w:sz w:val="18"/>
            <w:szCs w:val="18"/>
          </w:rPr>
          <w:t>arielkeriahensembiring@gmail.com</w:t>
        </w:r>
      </w:hyperlink>
    </w:p>
    <w:p w14:paraId="7632636D" w14:textId="77777777" w:rsidR="00E24085" w:rsidRDefault="00E24085" w:rsidP="00E24085">
      <w:pPr>
        <w:pBdr>
          <w:top w:val="nil"/>
          <w:left w:val="nil"/>
          <w:bottom w:val="nil"/>
          <w:right w:val="nil"/>
          <w:between w:val="nil"/>
        </w:pBdr>
        <w:spacing w:after="0" w:line="360" w:lineRule="auto"/>
        <w:rPr>
          <w:rFonts w:ascii="Arial" w:eastAsia="Arial" w:hAnsi="Arial" w:cs="Arial"/>
          <w:b/>
          <w:sz w:val="18"/>
          <w:szCs w:val="18"/>
        </w:rPr>
      </w:pPr>
    </w:p>
    <w:p w14:paraId="061D472F" w14:textId="77777777" w:rsidR="00E24085" w:rsidRPr="00385813" w:rsidRDefault="00E24085" w:rsidP="00E24085">
      <w:pPr>
        <w:spacing w:after="0" w:line="240" w:lineRule="auto"/>
        <w:ind w:right="180"/>
        <w:rPr>
          <w:rFonts w:ascii="Arial" w:eastAsia="Arial" w:hAnsi="Arial" w:cs="Arial"/>
          <w:sz w:val="18"/>
          <w:szCs w:val="18"/>
        </w:rPr>
      </w:pPr>
      <w:r w:rsidRPr="00385813">
        <w:rPr>
          <w:rFonts w:ascii="Arial" w:eastAsia="Arial" w:hAnsi="Arial" w:cs="Arial"/>
          <w:sz w:val="18"/>
          <w:szCs w:val="18"/>
        </w:rPr>
        <w:t>Received: July 14, 2025/ Revised: August 2, 2025/ Accepted: August 4, 2025/ Published online: December 4, 2025</w:t>
      </w:r>
    </w:p>
    <w:p w14:paraId="2C408FD8" w14:textId="77777777" w:rsidR="00E24085" w:rsidRDefault="00E24085" w:rsidP="00E24085">
      <w:pPr>
        <w:spacing w:after="0" w:line="240" w:lineRule="auto"/>
        <w:ind w:right="180"/>
        <w:rPr>
          <w:rFonts w:ascii="Arial" w:eastAsia="Arial" w:hAnsi="Arial" w:cs="Arial"/>
          <w:b/>
          <w:sz w:val="18"/>
          <w:szCs w:val="18"/>
        </w:rPr>
      </w:pPr>
      <w:r>
        <w:rPr>
          <w:noProof/>
        </w:rPr>
        <w:drawing>
          <wp:anchor distT="0" distB="0" distL="114300" distR="114300" simplePos="0" relativeHeight="251660288" behindDoc="0" locked="0" layoutInCell="1" allowOverlap="1" wp14:anchorId="6252B683" wp14:editId="1A30A51F">
            <wp:simplePos x="0" y="0"/>
            <wp:positionH relativeFrom="column">
              <wp:posOffset>-635</wp:posOffset>
            </wp:positionH>
            <wp:positionV relativeFrom="paragraph">
              <wp:posOffset>133350</wp:posOffset>
            </wp:positionV>
            <wp:extent cx="960120" cy="341630"/>
            <wp:effectExtent l="0" t="0" r="0" b="1270"/>
            <wp:wrapThrough wrapText="bothSides">
              <wp:wrapPolygon edited="0">
                <wp:start x="0" y="0"/>
                <wp:lineTo x="0" y="20476"/>
                <wp:lineTo x="21000" y="20476"/>
                <wp:lineTo x="21000" y="0"/>
                <wp:lineTo x="0" y="0"/>
              </wp:wrapPolygon>
            </wp:wrapThrough>
            <wp:docPr id="645199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12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DB2D08" w14:textId="77777777" w:rsidR="00E24085" w:rsidRDefault="00E24085" w:rsidP="00E24085">
      <w:pPr>
        <w:spacing w:after="0" w:line="240" w:lineRule="auto"/>
        <w:rPr>
          <w:rFonts w:ascii="Arial" w:hAnsi="Arial" w:cs="Arial"/>
          <w:sz w:val="16"/>
          <w:szCs w:val="16"/>
          <w:shd w:val="clear" w:color="auto" w:fill="FFFFFF"/>
        </w:rPr>
      </w:pPr>
      <w:r w:rsidRPr="006651C4">
        <w:rPr>
          <w:rFonts w:ascii="Arial" w:hAnsi="Arial" w:cs="Arial"/>
          <w:sz w:val="16"/>
          <w:szCs w:val="16"/>
          <w:shd w:val="clear" w:color="auto" w:fill="FFFFFF"/>
        </w:rPr>
        <w:t>© 2025 by the author(s)</w:t>
      </w:r>
      <w:r>
        <w:rPr>
          <w:rFonts w:ascii="Arial" w:hAnsi="Arial" w:cs="Arial"/>
          <w:sz w:val="16"/>
          <w:szCs w:val="16"/>
          <w:shd w:val="clear" w:color="auto" w:fill="FFFFFF"/>
        </w:rPr>
        <w:t xml:space="preserve">. </w:t>
      </w:r>
      <w:r w:rsidRPr="006651C4">
        <w:rPr>
          <w:rFonts w:ascii="Arial" w:hAnsi="Arial" w:cs="Arial"/>
          <w:sz w:val="16"/>
          <w:szCs w:val="16"/>
          <w:shd w:val="clear" w:color="auto" w:fill="FFFFFF"/>
        </w:rPr>
        <w:t>Published by Faculty of Medicine and Health Science Universitas Jambi.</w:t>
      </w:r>
    </w:p>
    <w:p w14:paraId="4A5B6465" w14:textId="77777777" w:rsidR="00E24085" w:rsidRPr="006651C4" w:rsidRDefault="00E24085" w:rsidP="00E24085">
      <w:pPr>
        <w:spacing w:after="0" w:line="240" w:lineRule="auto"/>
        <w:rPr>
          <w:rFonts w:ascii="Arial" w:hAnsi="Arial" w:cs="Arial"/>
          <w:sz w:val="16"/>
          <w:szCs w:val="16"/>
          <w:shd w:val="clear" w:color="auto" w:fill="FFFFFF"/>
        </w:rPr>
      </w:pPr>
      <w:r w:rsidRPr="006651C4">
        <w:rPr>
          <w:rFonts w:ascii="Arial" w:hAnsi="Arial" w:cs="Arial"/>
          <w:sz w:val="16"/>
          <w:szCs w:val="16"/>
          <w:shd w:val="clear" w:color="auto" w:fill="FFFFFF"/>
        </w:rPr>
        <w:t>This article is an open access article distributed under the terms and conditions of the Creative Commons Attribution (CC</w:t>
      </w:r>
      <w:r>
        <w:rPr>
          <w:rFonts w:ascii="Arial" w:hAnsi="Arial" w:cs="Arial"/>
          <w:sz w:val="16"/>
          <w:szCs w:val="16"/>
          <w:shd w:val="clear" w:color="auto" w:fill="FFFFFF"/>
        </w:rPr>
        <w:t xml:space="preserve"> </w:t>
      </w:r>
      <w:r w:rsidRPr="006651C4">
        <w:rPr>
          <w:rFonts w:ascii="Arial" w:hAnsi="Arial" w:cs="Arial"/>
          <w:sz w:val="16"/>
          <w:szCs w:val="16"/>
          <w:shd w:val="clear" w:color="auto" w:fill="FFFFFF"/>
        </w:rPr>
        <w:t>BY) license (</w:t>
      </w:r>
      <w:hyperlink r:id="rId10" w:history="1">
        <w:r w:rsidRPr="006651C4">
          <w:rPr>
            <w:rStyle w:val="Hyperlink"/>
            <w:rFonts w:ascii="Arial" w:hAnsi="Arial" w:cs="Arial"/>
            <w:sz w:val="16"/>
            <w:szCs w:val="16"/>
            <w:shd w:val="clear" w:color="auto" w:fill="FFFFFF"/>
          </w:rPr>
          <w:t>https://creativecommons.org/licenses/by/4.0/</w:t>
        </w:r>
      </w:hyperlink>
      <w:r w:rsidRPr="006651C4">
        <w:rPr>
          <w:rFonts w:ascii="Arial" w:hAnsi="Arial" w:cs="Arial"/>
          <w:sz w:val="16"/>
          <w:szCs w:val="16"/>
          <w:shd w:val="clear" w:color="auto" w:fill="FFFFFF"/>
        </w:rPr>
        <w:t>)</w:t>
      </w:r>
      <w:r>
        <w:rPr>
          <w:rFonts w:ascii="Arial" w:hAnsi="Arial" w:cs="Arial"/>
          <w:sz w:val="16"/>
          <w:szCs w:val="16"/>
          <w:shd w:val="clear" w:color="auto" w:fill="FFFFFF"/>
        </w:rPr>
        <w:t>.</w:t>
      </w:r>
    </w:p>
    <w:p w14:paraId="2F276463" w14:textId="77777777" w:rsidR="00E24085" w:rsidRDefault="00E24085" w:rsidP="00E24085">
      <w:pPr>
        <w:spacing w:after="0" w:line="240" w:lineRule="auto"/>
        <w:ind w:right="180"/>
        <w:rPr>
          <w:rFonts w:ascii="Arial" w:eastAsia="Arial" w:hAnsi="Arial" w:cs="Arial"/>
          <w:b/>
          <w:sz w:val="18"/>
          <w:szCs w:val="18"/>
        </w:rPr>
      </w:pPr>
    </w:p>
    <w:p w14:paraId="154300CF" w14:textId="77777777" w:rsidR="00E24085" w:rsidRDefault="00E24085" w:rsidP="00E24085">
      <w:pPr>
        <w:spacing w:after="0" w:line="240" w:lineRule="auto"/>
        <w:ind w:right="180"/>
        <w:rPr>
          <w:rFonts w:ascii="Arial" w:eastAsia="Arial" w:hAnsi="Arial" w:cs="Arial"/>
          <w:b/>
          <w:sz w:val="18"/>
          <w:szCs w:val="18"/>
        </w:rPr>
      </w:pPr>
    </w:p>
    <w:p w14:paraId="72250E4B" w14:textId="51A5FF9C" w:rsidR="00934653" w:rsidRPr="002966AF" w:rsidRDefault="00934653" w:rsidP="00E87859">
      <w:pPr>
        <w:spacing w:after="0" w:line="360" w:lineRule="auto"/>
        <w:jc w:val="both"/>
        <w:rPr>
          <w:rFonts w:ascii="Arial" w:hAnsi="Arial" w:cs="Arial"/>
          <w:b/>
          <w:bCs/>
        </w:rPr>
      </w:pPr>
      <w:r w:rsidRPr="002966AF">
        <w:rPr>
          <w:rFonts w:ascii="Arial" w:hAnsi="Arial" w:cs="Arial"/>
          <w:b/>
          <w:bCs/>
        </w:rPr>
        <w:t>ABSTRACT</w:t>
      </w:r>
    </w:p>
    <w:p w14:paraId="1ADA85A5" w14:textId="001E73FE" w:rsidR="00A54E8E" w:rsidRDefault="00A54E8E" w:rsidP="00E87859">
      <w:pPr>
        <w:spacing w:after="0" w:line="360" w:lineRule="auto"/>
        <w:jc w:val="both"/>
        <w:rPr>
          <w:rFonts w:ascii="Arial" w:hAnsi="Arial" w:cs="Arial"/>
          <w:sz w:val="20"/>
          <w:szCs w:val="20"/>
        </w:rPr>
      </w:pPr>
      <w:r w:rsidRPr="00A54E8E">
        <w:rPr>
          <w:rFonts w:ascii="Arial" w:hAnsi="Arial" w:cs="Arial"/>
          <w:b/>
          <w:bCs/>
          <w:sz w:val="20"/>
          <w:szCs w:val="20"/>
        </w:rPr>
        <w:t>Background:</w:t>
      </w:r>
      <w:r w:rsidRPr="00A54E8E">
        <w:rPr>
          <w:rFonts w:ascii="Arial" w:hAnsi="Arial" w:cs="Arial"/>
          <w:sz w:val="20"/>
          <w:szCs w:val="20"/>
        </w:rPr>
        <w:t xml:space="preserve"> Hypertension is a serious global health problem and a leading cause of morbidity and mortality worldwide. Dietary patterns, including </w:t>
      </w:r>
      <w:r w:rsidR="00E24085">
        <w:rPr>
          <w:rFonts w:ascii="Arial" w:hAnsi="Arial" w:cs="Arial"/>
          <w:sz w:val="20"/>
          <w:szCs w:val="20"/>
        </w:rPr>
        <w:t>high-fat</w:t>
      </w:r>
      <w:r w:rsidRPr="00A54E8E">
        <w:rPr>
          <w:rFonts w:ascii="Arial" w:hAnsi="Arial" w:cs="Arial"/>
          <w:sz w:val="20"/>
          <w:szCs w:val="20"/>
        </w:rPr>
        <w:t xml:space="preserve"> intake and obesity, are modifiable risk factors strongly associated with hypertension.</w:t>
      </w:r>
      <w:r>
        <w:rPr>
          <w:rFonts w:ascii="Arial" w:hAnsi="Arial" w:cs="Arial"/>
          <w:sz w:val="20"/>
          <w:szCs w:val="20"/>
        </w:rPr>
        <w:t xml:space="preserve"> </w:t>
      </w:r>
      <w:r w:rsidRPr="00A54E8E">
        <w:rPr>
          <w:rFonts w:ascii="Arial" w:hAnsi="Arial" w:cs="Arial"/>
          <w:b/>
          <w:bCs/>
          <w:sz w:val="20"/>
          <w:szCs w:val="20"/>
        </w:rPr>
        <w:t>Objective:</w:t>
      </w:r>
      <w:r w:rsidRPr="00A54E8E">
        <w:rPr>
          <w:rFonts w:ascii="Arial" w:hAnsi="Arial" w:cs="Arial"/>
          <w:sz w:val="20"/>
          <w:szCs w:val="20"/>
        </w:rPr>
        <w:t xml:space="preserve"> This study aims to analyze the relationship between fat intake and obesity with hypertension among men aged 35–54 years at Simpang IV Sipin Public Health Center.</w:t>
      </w:r>
      <w:r>
        <w:rPr>
          <w:rFonts w:ascii="Arial" w:hAnsi="Arial" w:cs="Arial"/>
          <w:sz w:val="20"/>
          <w:szCs w:val="20"/>
        </w:rPr>
        <w:t xml:space="preserve"> </w:t>
      </w:r>
      <w:r w:rsidRPr="00A54E8E">
        <w:rPr>
          <w:rFonts w:ascii="Arial" w:hAnsi="Arial" w:cs="Arial"/>
          <w:b/>
          <w:bCs/>
          <w:sz w:val="20"/>
          <w:szCs w:val="20"/>
        </w:rPr>
        <w:t>Methods:</w:t>
      </w:r>
      <w:r w:rsidRPr="00A54E8E">
        <w:rPr>
          <w:rFonts w:ascii="Arial" w:hAnsi="Arial" w:cs="Arial"/>
          <w:sz w:val="20"/>
          <w:szCs w:val="20"/>
        </w:rPr>
        <w:t xml:space="preserve"> This study used an analytical observational design with a case-control approach. A total of 100 participants were included, consisting of 50 hypertensive cases and 50 controls. Fat intake was assessed using a </w:t>
      </w:r>
      <w:r w:rsidR="00E24085">
        <w:rPr>
          <w:rFonts w:ascii="Arial" w:hAnsi="Arial" w:cs="Arial"/>
          <w:sz w:val="20"/>
          <w:szCs w:val="20"/>
        </w:rPr>
        <w:t>2×24-hour</w:t>
      </w:r>
      <w:r w:rsidRPr="00A54E8E">
        <w:rPr>
          <w:rFonts w:ascii="Arial" w:hAnsi="Arial" w:cs="Arial"/>
          <w:sz w:val="20"/>
          <w:szCs w:val="20"/>
        </w:rPr>
        <w:t xml:space="preserve"> food recall and processed with NutriSurvey, while obesity was determined by BMI ≥ 25 kg/m². Data were analyzed using Chi-square and logistic regression.</w:t>
      </w:r>
      <w:r>
        <w:rPr>
          <w:rFonts w:ascii="Arial" w:hAnsi="Arial" w:cs="Arial"/>
          <w:sz w:val="20"/>
          <w:szCs w:val="20"/>
        </w:rPr>
        <w:t xml:space="preserve"> </w:t>
      </w:r>
      <w:r w:rsidRPr="00A54E8E">
        <w:rPr>
          <w:rFonts w:ascii="Arial" w:hAnsi="Arial" w:cs="Arial"/>
          <w:b/>
          <w:bCs/>
          <w:sz w:val="20"/>
          <w:szCs w:val="20"/>
        </w:rPr>
        <w:t>Results:</w:t>
      </w:r>
      <w:r w:rsidRPr="00A54E8E">
        <w:rPr>
          <w:rFonts w:ascii="Arial" w:hAnsi="Arial" w:cs="Arial"/>
          <w:sz w:val="20"/>
          <w:szCs w:val="20"/>
        </w:rPr>
        <w:t xml:space="preserve"> A significant relationship was found between fat intake and hypertension (p &lt; 0.001; AOR = 49.8, 95% CI: 8.35–297.11). There was no significant relationship between obesity and hypertension after multivariate analysis (p = 0.070; AOR = 4.47, 95% CI: 0.89–22.58). </w:t>
      </w:r>
      <w:r w:rsidRPr="00A54E8E">
        <w:rPr>
          <w:rFonts w:ascii="Arial" w:hAnsi="Arial" w:cs="Arial"/>
          <w:b/>
          <w:bCs/>
          <w:sz w:val="20"/>
          <w:szCs w:val="20"/>
        </w:rPr>
        <w:t>Conclusion:</w:t>
      </w:r>
      <w:r w:rsidRPr="00A54E8E">
        <w:rPr>
          <w:rFonts w:ascii="Arial" w:hAnsi="Arial" w:cs="Arial"/>
          <w:sz w:val="20"/>
          <w:szCs w:val="20"/>
        </w:rPr>
        <w:t xml:space="preserve"> High fat intake is a dominant risk factor for hypertension in this population, while obesity showed no significant association after adjustment.</w:t>
      </w:r>
    </w:p>
    <w:p w14:paraId="59D15EE6" w14:textId="17FB9A0D" w:rsidR="00A54E8E" w:rsidRDefault="00A54E8E" w:rsidP="00E87859">
      <w:pPr>
        <w:spacing w:after="0" w:line="360" w:lineRule="auto"/>
        <w:jc w:val="both"/>
        <w:rPr>
          <w:rFonts w:ascii="Arial" w:hAnsi="Arial" w:cs="Arial"/>
          <w:sz w:val="20"/>
          <w:szCs w:val="20"/>
        </w:rPr>
      </w:pPr>
      <w:r w:rsidRPr="00A54E8E">
        <w:rPr>
          <w:rFonts w:ascii="Arial" w:hAnsi="Arial" w:cs="Arial"/>
          <w:b/>
          <w:bCs/>
          <w:sz w:val="20"/>
          <w:szCs w:val="20"/>
        </w:rPr>
        <w:t>Keywords:</w:t>
      </w:r>
      <w:r w:rsidRPr="00A54E8E">
        <w:rPr>
          <w:rFonts w:ascii="Arial" w:hAnsi="Arial" w:cs="Arial"/>
          <w:sz w:val="20"/>
          <w:szCs w:val="20"/>
        </w:rPr>
        <w:t xml:space="preserve"> hypertension</w:t>
      </w:r>
      <w:r w:rsidR="00E24085">
        <w:rPr>
          <w:rFonts w:ascii="Arial" w:hAnsi="Arial" w:cs="Arial"/>
          <w:sz w:val="20"/>
          <w:szCs w:val="20"/>
          <w:lang w:val="en-US"/>
        </w:rPr>
        <w:t>;</w:t>
      </w:r>
      <w:r w:rsidRPr="00A54E8E">
        <w:rPr>
          <w:rFonts w:ascii="Arial" w:hAnsi="Arial" w:cs="Arial"/>
          <w:sz w:val="20"/>
          <w:szCs w:val="20"/>
        </w:rPr>
        <w:t xml:space="preserve"> fat intake</w:t>
      </w:r>
      <w:r w:rsidR="00E24085">
        <w:rPr>
          <w:rFonts w:ascii="Arial" w:hAnsi="Arial" w:cs="Arial"/>
          <w:sz w:val="20"/>
          <w:szCs w:val="20"/>
          <w:lang w:val="en-US"/>
        </w:rPr>
        <w:t>;</w:t>
      </w:r>
      <w:r w:rsidRPr="00A54E8E">
        <w:rPr>
          <w:rFonts w:ascii="Arial" w:hAnsi="Arial" w:cs="Arial"/>
          <w:sz w:val="20"/>
          <w:szCs w:val="20"/>
        </w:rPr>
        <w:t xml:space="preserve"> obesity</w:t>
      </w:r>
    </w:p>
    <w:p w14:paraId="3B24940D" w14:textId="354BD807" w:rsidR="00E87859" w:rsidRDefault="00E87859" w:rsidP="00E87859">
      <w:pPr>
        <w:spacing w:after="0" w:line="360" w:lineRule="auto"/>
        <w:jc w:val="both"/>
        <w:rPr>
          <w:rFonts w:ascii="Arial" w:hAnsi="Arial" w:cs="Arial"/>
          <w:sz w:val="20"/>
          <w:szCs w:val="20"/>
        </w:rPr>
      </w:pPr>
      <w:r>
        <w:rPr>
          <w:rFonts w:ascii="Arial" w:eastAsia="Arial" w:hAnsi="Arial" w:cs="Arial"/>
          <w:b/>
          <w:noProof/>
        </w:rPr>
        <mc:AlternateContent>
          <mc:Choice Requires="wps">
            <w:drawing>
              <wp:anchor distT="0" distB="0" distL="114300" distR="114300" simplePos="0" relativeHeight="251662336" behindDoc="0" locked="0" layoutInCell="1" allowOverlap="1" wp14:anchorId="76D7A732" wp14:editId="39AB5012">
                <wp:simplePos x="0" y="0"/>
                <wp:positionH relativeFrom="margin">
                  <wp:align>left</wp:align>
                </wp:positionH>
                <wp:positionV relativeFrom="paragraph">
                  <wp:posOffset>97790</wp:posOffset>
                </wp:positionV>
                <wp:extent cx="5746750" cy="0"/>
                <wp:effectExtent l="0" t="0" r="0" b="0"/>
                <wp:wrapNone/>
                <wp:docPr id="158866114" name="Straight Connector 3"/>
                <wp:cNvGraphicFramePr/>
                <a:graphic xmlns:a="http://schemas.openxmlformats.org/drawingml/2006/main">
                  <a:graphicData uri="http://schemas.microsoft.com/office/word/2010/wordprocessingShape">
                    <wps:wsp>
                      <wps:cNvCnPr/>
                      <wps:spPr>
                        <a:xfrm>
                          <a:off x="0" y="0"/>
                          <a:ext cx="57467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DF711E" id="Straight Connector 3"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7.7pt" to="45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" strokecolor="black [3200]" strokeweight="1pt">
                <v:stroke joinstyle="miter"/>
                <w10:wrap anchorx="margin"/>
              </v:line>
            </w:pict>
          </mc:Fallback>
        </mc:AlternateContent>
      </w:r>
    </w:p>
    <w:p w14:paraId="602D1B29" w14:textId="3D77E1F7" w:rsidR="00E87859" w:rsidRDefault="00E87859" w:rsidP="00E87859">
      <w:pPr>
        <w:spacing w:after="0" w:line="360" w:lineRule="auto"/>
        <w:jc w:val="both"/>
        <w:rPr>
          <w:rFonts w:ascii="Arial" w:hAnsi="Arial" w:cs="Arial"/>
          <w:sz w:val="20"/>
          <w:szCs w:val="20"/>
        </w:rPr>
        <w:sectPr w:rsidR="00E87859" w:rsidSect="006147A3">
          <w:headerReference w:type="default" r:id="rId11"/>
          <w:footerReference w:type="default" r:id="rId12"/>
          <w:pgSz w:w="11906" w:h="16838"/>
          <w:pgMar w:top="1440" w:right="1440" w:bottom="1440" w:left="1440" w:header="708" w:footer="708" w:gutter="0"/>
          <w:pgNumType w:start="119"/>
          <w:cols w:space="708"/>
          <w:docGrid w:linePitch="360"/>
        </w:sectPr>
      </w:pPr>
    </w:p>
    <w:p w14:paraId="20AC7664" w14:textId="3EBA4A75" w:rsidR="00515E31" w:rsidRPr="00E87859" w:rsidRDefault="00515E31" w:rsidP="00E87859">
      <w:pPr>
        <w:spacing w:after="0" w:line="360" w:lineRule="auto"/>
        <w:jc w:val="both"/>
        <w:rPr>
          <w:rFonts w:ascii="Arial" w:hAnsi="Arial" w:cs="Arial"/>
          <w:b/>
          <w:bCs/>
        </w:rPr>
      </w:pPr>
      <w:r w:rsidRPr="00E87859">
        <w:rPr>
          <w:rFonts w:ascii="Arial" w:hAnsi="Arial" w:cs="Arial"/>
          <w:b/>
          <w:bCs/>
        </w:rPr>
        <w:t>INTRODUCTION</w:t>
      </w:r>
    </w:p>
    <w:p w14:paraId="3B31F46F" w14:textId="75356278" w:rsidR="00515E31" w:rsidRPr="00E87859" w:rsidRDefault="00515E31" w:rsidP="00E87859">
      <w:pPr>
        <w:spacing w:after="0" w:line="360" w:lineRule="auto"/>
        <w:ind w:firstLine="720"/>
        <w:jc w:val="both"/>
        <w:rPr>
          <w:rFonts w:ascii="Arial" w:hAnsi="Arial" w:cs="Arial"/>
        </w:rPr>
      </w:pPr>
      <w:r w:rsidRPr="00E87859">
        <w:rPr>
          <w:rFonts w:ascii="Arial" w:hAnsi="Arial" w:cs="Arial"/>
        </w:rPr>
        <w:t xml:space="preserve">Hypertension remains a major global health burden, affecting approximately 1.28 billion adults worldwide, with the majority living in low- and middle-income countries. According to the World Health Organization (WHO), </w:t>
      </w:r>
      <w:r w:rsidRPr="00E87859">
        <w:rPr>
          <w:rFonts w:ascii="Arial" w:hAnsi="Arial" w:cs="Arial"/>
        </w:rPr>
        <w:t>hypertension contributes significantly to the global burden of cardiovascular diseases and is a leading cause of premature death.</w:t>
      </w:r>
      <w:r w:rsidR="00DB0118" w:rsidRPr="00E87859">
        <w:rPr>
          <w:rFonts w:ascii="Arial" w:hAnsi="Arial" w:cs="Arial"/>
          <w:vertAlign w:val="superscript"/>
        </w:rPr>
        <w:t>1</w:t>
      </w:r>
      <w:r w:rsidRPr="00E87859">
        <w:rPr>
          <w:rFonts w:ascii="Arial" w:hAnsi="Arial" w:cs="Arial"/>
        </w:rPr>
        <w:t xml:space="preserve"> In Indonesia, the prevalence of hypertension continues to increase, with the 2018 National Basic Health Research (Riskesdas) reporting a prevalence of </w:t>
      </w:r>
      <w:r w:rsidRPr="00E87859">
        <w:rPr>
          <w:rFonts w:ascii="Arial" w:hAnsi="Arial" w:cs="Arial"/>
        </w:rPr>
        <w:lastRenderedPageBreak/>
        <w:t>34.1%, rising from 25.8% in 2013. Notably, in Jambi Province, hypertension was the second most common non-communicable disease, with a prevalence of 25.48% in 2022.</w:t>
      </w:r>
      <w:r w:rsidR="00DB0118" w:rsidRPr="00E87859">
        <w:rPr>
          <w:rFonts w:ascii="Arial" w:hAnsi="Arial" w:cs="Arial"/>
          <w:vertAlign w:val="superscript"/>
        </w:rPr>
        <w:t>2,3</w:t>
      </w:r>
    </w:p>
    <w:p w14:paraId="3A155962" w14:textId="17120695" w:rsidR="00515E31" w:rsidRPr="00E87859" w:rsidRDefault="00E24085" w:rsidP="00E87859">
      <w:pPr>
        <w:spacing w:after="0" w:line="360" w:lineRule="auto"/>
        <w:ind w:firstLine="720"/>
        <w:jc w:val="both"/>
        <w:rPr>
          <w:rFonts w:ascii="Arial" w:hAnsi="Arial" w:cs="Arial"/>
        </w:rPr>
      </w:pPr>
      <w:r w:rsidRPr="00E87859">
        <w:rPr>
          <w:rFonts w:ascii="Arial" w:hAnsi="Arial" w:cs="Arial"/>
        </w:rPr>
        <w:t>Both non-modifiable and modifiable risk factors influence hypertension</w:t>
      </w:r>
      <w:r w:rsidR="00515E31" w:rsidRPr="00E87859">
        <w:rPr>
          <w:rFonts w:ascii="Arial" w:hAnsi="Arial" w:cs="Arial"/>
        </w:rPr>
        <w:t>. Non-modifiable factors include age, sex, and genetic predisposition, whereas modifiable factors encompass obesity, physical inactivity, stress, smoking, and dietary habits. Among these, diet plays a critical role, particularly fat intake. Excessive fat consumption, especially saturated and trans fats, has been linked to increased arterial stiffness, endothelial dysfunction, and atherogenesis, all of which contribute to elevated blood pressure. High-fat diets are often associated with increased sympathetic nervous system activity, insulin resistance, and sodium retention, further exacerbating hypertension risk.</w:t>
      </w:r>
      <w:r w:rsidR="00946532" w:rsidRPr="00E87859">
        <w:rPr>
          <w:rFonts w:ascii="Arial" w:hAnsi="Arial" w:cs="Arial"/>
          <w:vertAlign w:val="superscript"/>
        </w:rPr>
        <w:t>4,5</w:t>
      </w:r>
      <w:r w:rsidR="007612D5" w:rsidRPr="00E87859">
        <w:rPr>
          <w:rFonts w:ascii="Arial" w:hAnsi="Arial" w:cs="Arial"/>
          <w:vertAlign w:val="superscript"/>
        </w:rPr>
        <w:t>,6</w:t>
      </w:r>
    </w:p>
    <w:p w14:paraId="4CBEBFD0" w14:textId="6EAB40B7" w:rsidR="00515E31" w:rsidRPr="00E87859" w:rsidRDefault="00515E31" w:rsidP="00E87859">
      <w:pPr>
        <w:spacing w:after="0" w:line="360" w:lineRule="auto"/>
        <w:ind w:firstLine="720"/>
        <w:jc w:val="both"/>
        <w:rPr>
          <w:rFonts w:ascii="Arial" w:hAnsi="Arial" w:cs="Arial"/>
        </w:rPr>
      </w:pPr>
      <w:r w:rsidRPr="00E87859">
        <w:rPr>
          <w:rFonts w:ascii="Arial" w:hAnsi="Arial" w:cs="Arial"/>
        </w:rPr>
        <w:t>Obesity, defined as a body mass index (BMI) of ≥25 kg/m² for Asian populations, is another well-established risk factor for hypertension.</w:t>
      </w:r>
      <w:r w:rsidR="00933489" w:rsidRPr="00E87859">
        <w:rPr>
          <w:rFonts w:ascii="Arial" w:hAnsi="Arial" w:cs="Arial"/>
          <w:vertAlign w:val="superscript"/>
        </w:rPr>
        <w:t>7</w:t>
      </w:r>
      <w:r w:rsidRPr="00E87859">
        <w:rPr>
          <w:rFonts w:ascii="Arial" w:hAnsi="Arial" w:cs="Arial"/>
        </w:rPr>
        <w:t xml:space="preserve"> The mechanisms underlying obesity-related hypertension are multifactorial and include increased cardiac output, activation of the renin-angiotensin-aldosterone system, and alterations in adipokines such as leptin and adiponectin. Although both fat intake and obesity are known to influence blood pressure, previous studies have shown inconsistent results regarding their relative contributions. Some studies have reported a strong association between fat intake and </w:t>
      </w:r>
      <w:r w:rsidRPr="00E87859">
        <w:rPr>
          <w:rFonts w:ascii="Arial" w:hAnsi="Arial" w:cs="Arial"/>
        </w:rPr>
        <w:t>hypertension</w:t>
      </w:r>
      <w:r w:rsidR="00E24085" w:rsidRPr="00E87859">
        <w:rPr>
          <w:rFonts w:ascii="Arial" w:hAnsi="Arial" w:cs="Arial"/>
        </w:rPr>
        <w:t>. In contrast,</w:t>
      </w:r>
      <w:r w:rsidRPr="00E87859">
        <w:rPr>
          <w:rFonts w:ascii="Arial" w:hAnsi="Arial" w:cs="Arial"/>
        </w:rPr>
        <w:t xml:space="preserve"> others have found no significant relationship, possibly due to differences in study populations, dietary assessment methods, and controlled confounding variables.</w:t>
      </w:r>
      <w:r w:rsidR="00933489" w:rsidRPr="00E87859">
        <w:rPr>
          <w:rFonts w:ascii="Arial" w:hAnsi="Arial" w:cs="Arial"/>
          <w:vertAlign w:val="superscript"/>
        </w:rPr>
        <w:t xml:space="preserve">8,9 </w:t>
      </w:r>
      <w:r w:rsidR="00933489" w:rsidRPr="00E87859">
        <w:rPr>
          <w:rFonts w:ascii="Arial" w:hAnsi="Arial" w:cs="Arial"/>
        </w:rPr>
        <w:t>Several studies mention that the risk factors for obesity are mostly due to lack of physical activity and food consumption.</w:t>
      </w:r>
      <w:r w:rsidR="00933489" w:rsidRPr="00E87859">
        <w:rPr>
          <w:rFonts w:ascii="Arial" w:hAnsi="Arial" w:cs="Arial"/>
          <w:vertAlign w:val="superscript"/>
        </w:rPr>
        <w:t>10</w:t>
      </w:r>
    </w:p>
    <w:p w14:paraId="0BC74279" w14:textId="3576A31F" w:rsidR="00515E31" w:rsidRDefault="00515E31" w:rsidP="00E87859">
      <w:pPr>
        <w:spacing w:after="0" w:line="360" w:lineRule="auto"/>
        <w:ind w:firstLine="720"/>
        <w:jc w:val="both"/>
        <w:rPr>
          <w:rFonts w:ascii="Arial" w:hAnsi="Arial" w:cs="Arial"/>
        </w:rPr>
      </w:pPr>
      <w:r w:rsidRPr="00E87859">
        <w:rPr>
          <w:rFonts w:ascii="Arial" w:hAnsi="Arial" w:cs="Arial"/>
        </w:rPr>
        <w:t xml:space="preserve">Considering these inconsistencies and the limited number of studies focusing on adult men in Indonesia, particularly in Jambi Province, further research is needed to clarify these relationships. This study aims to </w:t>
      </w:r>
      <w:r w:rsidR="009A74E8">
        <w:rPr>
          <w:rFonts w:ascii="Arial" w:hAnsi="Arial" w:cs="Arial"/>
        </w:rPr>
        <w:t>analyse the association between fat intake and obesity with the occurrence of hypertension among men aged 35–54 years at Simpang IV Sipin Public Health Centre</w:t>
      </w:r>
      <w:r w:rsidRPr="00E87859">
        <w:rPr>
          <w:rFonts w:ascii="Arial" w:hAnsi="Arial" w:cs="Arial"/>
        </w:rPr>
        <w:t>. By identifying dominant dietary and anthropometric risk factors, this research is expected to contribute valuable evidence for targeted prevention and intervention strategies to reduce hypertension prevalence in this population.</w:t>
      </w:r>
    </w:p>
    <w:p w14:paraId="72809243" w14:textId="77777777" w:rsidR="00F10A73" w:rsidRPr="00E87859" w:rsidRDefault="00F10A73" w:rsidP="00E87859">
      <w:pPr>
        <w:spacing w:after="0" w:line="360" w:lineRule="auto"/>
        <w:ind w:firstLine="720"/>
        <w:jc w:val="both"/>
        <w:rPr>
          <w:rFonts w:ascii="Arial" w:hAnsi="Arial" w:cs="Arial"/>
        </w:rPr>
      </w:pPr>
    </w:p>
    <w:p w14:paraId="7DC04097" w14:textId="067FD741" w:rsidR="00515E31" w:rsidRPr="00E87859" w:rsidRDefault="00515E31" w:rsidP="00E87859">
      <w:pPr>
        <w:spacing w:after="0" w:line="360" w:lineRule="auto"/>
        <w:jc w:val="both"/>
        <w:rPr>
          <w:rFonts w:ascii="Arial" w:hAnsi="Arial" w:cs="Arial"/>
          <w:b/>
          <w:bCs/>
        </w:rPr>
      </w:pPr>
      <w:r w:rsidRPr="00E87859">
        <w:rPr>
          <w:rFonts w:ascii="Arial" w:hAnsi="Arial" w:cs="Arial"/>
          <w:b/>
          <w:bCs/>
        </w:rPr>
        <w:t>METHODS</w:t>
      </w:r>
    </w:p>
    <w:p w14:paraId="41423CD7" w14:textId="1E18A53F" w:rsidR="00193D94" w:rsidRPr="00E87859" w:rsidRDefault="00193D94" w:rsidP="00E87859">
      <w:pPr>
        <w:spacing w:after="0" w:line="360" w:lineRule="auto"/>
        <w:ind w:firstLine="720"/>
        <w:jc w:val="both"/>
        <w:rPr>
          <w:rFonts w:ascii="Arial" w:hAnsi="Arial" w:cs="Arial"/>
        </w:rPr>
      </w:pPr>
      <w:r w:rsidRPr="00E87859">
        <w:rPr>
          <w:rFonts w:ascii="Arial" w:hAnsi="Arial" w:cs="Arial"/>
        </w:rPr>
        <w:t xml:space="preserve">The study design was an unmatched case-control </w:t>
      </w:r>
      <w:r w:rsidR="00E24085" w:rsidRPr="00E87859">
        <w:rPr>
          <w:rFonts w:ascii="Arial" w:hAnsi="Arial" w:cs="Arial"/>
        </w:rPr>
        <w:t xml:space="preserve">study </w:t>
      </w:r>
      <w:r w:rsidRPr="00E87859">
        <w:rPr>
          <w:rFonts w:ascii="Arial" w:hAnsi="Arial" w:cs="Arial"/>
        </w:rPr>
        <w:t xml:space="preserve">involving 100 male subjects aged 35–54 years at Simpang IV Sipin Public Health Center. The sample consisted of 50 cases (hypertensive) and 50 controls (non-hypertensive). Subjects were classified as hypertensive if they had systolic blood pressure ≥140 mmHg and/or diastolic blood pressure ≥90 mmHg, and as non-hypertensive if systolic </w:t>
      </w:r>
      <w:r w:rsidR="00E24085" w:rsidRPr="00E87859">
        <w:rPr>
          <w:rFonts w:ascii="Arial" w:hAnsi="Arial" w:cs="Arial"/>
        </w:rPr>
        <w:t xml:space="preserve">blood pressure </w:t>
      </w:r>
      <w:r w:rsidR="00E24085" w:rsidRPr="00E87859">
        <w:rPr>
          <w:rFonts w:ascii="Arial" w:hAnsi="Arial" w:cs="Arial"/>
        </w:rPr>
        <w:lastRenderedPageBreak/>
        <w:t xml:space="preserve">&lt;140 mmHg and diastolic blood pressure </w:t>
      </w:r>
      <w:r w:rsidRPr="00E87859">
        <w:rPr>
          <w:rFonts w:ascii="Arial" w:hAnsi="Arial" w:cs="Arial"/>
        </w:rPr>
        <w:t>&lt;90 mmHg.</w:t>
      </w:r>
      <w:r w:rsidR="00334B02" w:rsidRPr="00E87859">
        <w:rPr>
          <w:rFonts w:ascii="Arial" w:hAnsi="Arial" w:cs="Arial"/>
          <w:vertAlign w:val="superscript"/>
        </w:rPr>
        <w:t>1</w:t>
      </w:r>
      <w:r w:rsidR="00933489" w:rsidRPr="00E87859">
        <w:rPr>
          <w:rFonts w:ascii="Arial" w:hAnsi="Arial" w:cs="Arial"/>
          <w:vertAlign w:val="superscript"/>
        </w:rPr>
        <w:t>1</w:t>
      </w:r>
    </w:p>
    <w:p w14:paraId="5A15BB11" w14:textId="5460CF7A" w:rsidR="00193D94" w:rsidRPr="00E87859" w:rsidRDefault="00193D94" w:rsidP="00E87859">
      <w:pPr>
        <w:spacing w:after="0" w:line="360" w:lineRule="auto"/>
        <w:ind w:firstLine="720"/>
        <w:jc w:val="both"/>
        <w:rPr>
          <w:rFonts w:ascii="Arial" w:hAnsi="Arial" w:cs="Arial"/>
        </w:rPr>
      </w:pPr>
      <w:r w:rsidRPr="00E87859">
        <w:rPr>
          <w:rFonts w:ascii="Arial" w:hAnsi="Arial" w:cs="Arial"/>
        </w:rPr>
        <w:t xml:space="preserve">Fat intake data were collected using a 2×24-hour food recall method, assisted by the Food Picture Book from the Indonesian Ministry of Health. Intake was analyzed using NutriSurvey software and categorized as </w:t>
      </w:r>
      <w:r w:rsidR="00E24085" w:rsidRPr="00E87859">
        <w:rPr>
          <w:rFonts w:ascii="Arial" w:hAnsi="Arial" w:cs="Arial"/>
        </w:rPr>
        <w:t xml:space="preserve">severe (&lt;70% RDA), moderate (70–79% RDA), </w:t>
      </w:r>
      <w:r w:rsidRPr="00E87859">
        <w:rPr>
          <w:rFonts w:ascii="Arial" w:hAnsi="Arial" w:cs="Arial"/>
        </w:rPr>
        <w:t>mild (80–89% RDA), and adequate (90–119% RDA). Obesity status was assessed using Body Mass Index (BMI), with a cutoff point of ≥25 kg/m² categorized as obese.</w:t>
      </w:r>
      <w:r w:rsidR="00334B02" w:rsidRPr="00E87859">
        <w:rPr>
          <w:rFonts w:ascii="Arial" w:hAnsi="Arial" w:cs="Arial"/>
          <w:vertAlign w:val="superscript"/>
        </w:rPr>
        <w:t>1</w:t>
      </w:r>
      <w:r w:rsidR="00933489" w:rsidRPr="00E87859">
        <w:rPr>
          <w:rFonts w:ascii="Arial" w:hAnsi="Arial" w:cs="Arial"/>
          <w:vertAlign w:val="superscript"/>
        </w:rPr>
        <w:t>2</w:t>
      </w:r>
      <w:r w:rsidR="00995E42" w:rsidRPr="00E87859">
        <w:rPr>
          <w:rFonts w:ascii="Arial" w:hAnsi="Arial" w:cs="Arial"/>
          <w:vertAlign w:val="superscript"/>
        </w:rPr>
        <w:t>,1</w:t>
      </w:r>
      <w:r w:rsidR="00933489" w:rsidRPr="00E87859">
        <w:rPr>
          <w:rFonts w:ascii="Arial" w:hAnsi="Arial" w:cs="Arial"/>
          <w:vertAlign w:val="superscript"/>
        </w:rPr>
        <w:t>3,</w:t>
      </w:r>
    </w:p>
    <w:p w14:paraId="03333447" w14:textId="604F69B8" w:rsidR="00193D94" w:rsidRPr="00E87859" w:rsidRDefault="00193D94" w:rsidP="00E87859">
      <w:pPr>
        <w:spacing w:after="0" w:line="360" w:lineRule="auto"/>
        <w:ind w:firstLine="720"/>
        <w:jc w:val="both"/>
        <w:rPr>
          <w:rFonts w:ascii="Arial" w:hAnsi="Arial" w:cs="Arial"/>
        </w:rPr>
      </w:pPr>
      <w:r w:rsidRPr="00E87859">
        <w:rPr>
          <w:rFonts w:ascii="Arial" w:hAnsi="Arial" w:cs="Arial"/>
        </w:rPr>
        <w:t>Sample size determination was carried out using the Lemeshow formula for case-control studies. Inclusion criteria were male subjects aged 35–54 years who were willing to participate and able to provide complete data. Exclusion criteria included individuals with incomplete data or those unwilling to participate.</w:t>
      </w:r>
    </w:p>
    <w:p w14:paraId="71719394" w14:textId="61979AE6" w:rsidR="00515E31" w:rsidRPr="00E87859" w:rsidRDefault="00193D94" w:rsidP="00E87859">
      <w:pPr>
        <w:spacing w:after="0" w:line="360" w:lineRule="auto"/>
        <w:ind w:firstLine="720"/>
        <w:jc w:val="both"/>
        <w:rPr>
          <w:rFonts w:ascii="Arial" w:hAnsi="Arial" w:cs="Arial"/>
        </w:rPr>
      </w:pPr>
      <w:r w:rsidRPr="00E87859">
        <w:rPr>
          <w:rFonts w:ascii="Arial" w:hAnsi="Arial" w:cs="Arial"/>
        </w:rPr>
        <w:t xml:space="preserve">Data analysis was performed using SPSS version 26, including Chi-square tests for bivariate analysis and logistic regression for multivariate analysis to determine dominant risk factors. A p-value &lt; 0.05 was considered statistically </w:t>
      </w:r>
      <w:r w:rsidRPr="00E87859">
        <w:rPr>
          <w:rFonts w:ascii="Arial" w:hAnsi="Arial" w:cs="Arial"/>
        </w:rPr>
        <w:t>significant. This research received ethical approval from the Ethics Committee of the Faculty of Medicine and Health Sciences, Universitas Jambi, and all subjects provided written informed consent before participation.</w:t>
      </w:r>
    </w:p>
    <w:p w14:paraId="43323C47" w14:textId="77777777" w:rsidR="00E87859" w:rsidRDefault="00E87859" w:rsidP="00E87859">
      <w:pPr>
        <w:spacing w:after="0" w:line="360" w:lineRule="auto"/>
        <w:jc w:val="both"/>
        <w:rPr>
          <w:rFonts w:ascii="Arial" w:hAnsi="Arial" w:cs="Arial"/>
          <w:b/>
          <w:bCs/>
        </w:rPr>
      </w:pPr>
    </w:p>
    <w:p w14:paraId="101E4858" w14:textId="18745D76" w:rsidR="00193D94" w:rsidRPr="00E87859" w:rsidRDefault="00193D94" w:rsidP="00E87859">
      <w:pPr>
        <w:spacing w:after="0" w:line="360" w:lineRule="auto"/>
        <w:jc w:val="both"/>
        <w:rPr>
          <w:rFonts w:ascii="Arial" w:hAnsi="Arial" w:cs="Arial"/>
          <w:b/>
          <w:bCs/>
        </w:rPr>
      </w:pPr>
      <w:r w:rsidRPr="00E87859">
        <w:rPr>
          <w:rFonts w:ascii="Arial" w:hAnsi="Arial" w:cs="Arial"/>
          <w:b/>
          <w:bCs/>
        </w:rPr>
        <w:t>RESULTS</w:t>
      </w:r>
    </w:p>
    <w:p w14:paraId="0CFE45E7" w14:textId="77777777" w:rsidR="00E87859" w:rsidRDefault="00193D94" w:rsidP="007D3BE7">
      <w:pPr>
        <w:spacing w:after="0" w:line="360" w:lineRule="auto"/>
        <w:ind w:firstLine="720"/>
        <w:jc w:val="both"/>
        <w:rPr>
          <w:rFonts w:ascii="Arial" w:hAnsi="Arial" w:cs="Arial"/>
        </w:rPr>
        <w:sectPr w:rsidR="00E87859" w:rsidSect="00F10A73">
          <w:type w:val="continuous"/>
          <w:pgSz w:w="11906" w:h="16838"/>
          <w:pgMar w:top="1440" w:right="1440" w:bottom="1440" w:left="1440" w:header="708" w:footer="708" w:gutter="0"/>
          <w:cols w:num="2" w:space="708"/>
          <w:docGrid w:linePitch="360"/>
        </w:sectPr>
      </w:pPr>
      <w:r w:rsidRPr="00E87859">
        <w:rPr>
          <w:rFonts w:ascii="Arial" w:hAnsi="Arial" w:cs="Arial"/>
        </w:rPr>
        <w:t>This study was conducted from January 2025 to March 2025 at Simpang IV Sipin Public Health Center, Jambi City. The research subjects consisted of 100 male participants aged 35–54 years, divided into 50 hypertensive cases and 50 non-hypertensive controls. Blood pressure measurements were performed on-site at the health center using standard procedures. Dietary intake data were collected through face-to-face interviews using a 2×24-hour food recall method and analyzed using NutriSurvey software. Anthropometric measurements, including weight and height, were taken to calculate Body Mass Index (BMI). All subjects in this study resided in Jambi City and voluntarily agreed to participate after providing informed consent.</w:t>
      </w:r>
    </w:p>
    <w:p w14:paraId="0B0A0843" w14:textId="77777777" w:rsidR="00E87859" w:rsidRDefault="00E87859" w:rsidP="007D3BE7">
      <w:pPr>
        <w:spacing w:after="0" w:line="240" w:lineRule="auto"/>
        <w:rPr>
          <w:rFonts w:ascii="Arial" w:hAnsi="Arial" w:cs="Arial"/>
        </w:rPr>
      </w:pPr>
    </w:p>
    <w:p w14:paraId="2F4B7A13" w14:textId="73BDA0C7" w:rsidR="00193D94" w:rsidRPr="007D3BE7" w:rsidRDefault="00193D94" w:rsidP="007D3BE7">
      <w:pPr>
        <w:spacing w:after="0" w:line="276" w:lineRule="auto"/>
        <w:ind w:left="567"/>
        <w:rPr>
          <w:rFonts w:ascii="Arial" w:hAnsi="Arial" w:cs="Arial"/>
          <w:sz w:val="20"/>
          <w:szCs w:val="20"/>
          <w:lang w:val="en-US"/>
        </w:rPr>
      </w:pPr>
      <w:r w:rsidRPr="00F10A73">
        <w:rPr>
          <w:rFonts w:ascii="Arial" w:hAnsi="Arial" w:cs="Arial"/>
          <w:b/>
          <w:bCs/>
          <w:sz w:val="20"/>
          <w:szCs w:val="20"/>
        </w:rPr>
        <w:t>Table 1</w:t>
      </w:r>
      <w:r w:rsidR="003B6540" w:rsidRPr="00F10A73">
        <w:rPr>
          <w:rFonts w:ascii="Arial" w:hAnsi="Arial" w:cs="Arial"/>
          <w:b/>
          <w:bCs/>
          <w:sz w:val="20"/>
          <w:szCs w:val="20"/>
        </w:rPr>
        <w:t>.</w:t>
      </w:r>
      <w:r w:rsidR="003B6540" w:rsidRPr="00F10A73">
        <w:rPr>
          <w:rFonts w:ascii="Arial" w:hAnsi="Arial" w:cs="Arial"/>
          <w:sz w:val="20"/>
          <w:szCs w:val="20"/>
        </w:rPr>
        <w:t xml:space="preserve"> Characteristics of Study Subjects</w:t>
      </w:r>
      <w:r w:rsidR="007D3BE7">
        <w:rPr>
          <w:rFonts w:ascii="Arial" w:hAnsi="Arial" w:cs="Arial"/>
          <w:sz w:val="20"/>
          <w:szCs w:val="20"/>
          <w:lang w:val="en-US"/>
        </w:rPr>
        <w:t xml:space="preserve"> (n=50)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17"/>
        <w:gridCol w:w="1560"/>
        <w:gridCol w:w="1417"/>
        <w:gridCol w:w="1553"/>
      </w:tblGrid>
      <w:tr w:rsidR="003B6540" w:rsidRPr="00E87859" w14:paraId="22E1673A" w14:textId="77777777" w:rsidTr="00671661">
        <w:trPr>
          <w:trHeight w:val="50"/>
          <w:jc w:val="center"/>
        </w:trPr>
        <w:tc>
          <w:tcPr>
            <w:tcW w:w="1980" w:type="dxa"/>
            <w:vMerge w:val="restart"/>
            <w:tcBorders>
              <w:top w:val="single" w:sz="4" w:space="0" w:color="auto"/>
            </w:tcBorders>
            <w:shd w:val="clear" w:color="auto" w:fill="F2F2F2" w:themeFill="background1" w:themeFillShade="F2"/>
          </w:tcPr>
          <w:p w14:paraId="42066CA2" w14:textId="218830E1" w:rsidR="003B6540" w:rsidRPr="00F10A73" w:rsidRDefault="003B6540" w:rsidP="00E87859">
            <w:pPr>
              <w:jc w:val="center"/>
              <w:rPr>
                <w:rFonts w:ascii="Arial" w:hAnsi="Arial" w:cs="Arial"/>
                <w:b/>
                <w:bCs/>
              </w:rPr>
            </w:pPr>
            <w:r w:rsidRPr="00F10A73">
              <w:rPr>
                <w:rFonts w:ascii="Arial" w:hAnsi="Arial" w:cs="Arial"/>
                <w:b/>
                <w:bCs/>
              </w:rPr>
              <w:t>Subject Characteristics</w:t>
            </w:r>
          </w:p>
        </w:tc>
        <w:tc>
          <w:tcPr>
            <w:tcW w:w="2977" w:type="dxa"/>
            <w:gridSpan w:val="2"/>
            <w:tcBorders>
              <w:top w:val="single" w:sz="4" w:space="0" w:color="auto"/>
              <w:bottom w:val="single" w:sz="4" w:space="0" w:color="auto"/>
            </w:tcBorders>
            <w:shd w:val="clear" w:color="auto" w:fill="F2F2F2" w:themeFill="background1" w:themeFillShade="F2"/>
          </w:tcPr>
          <w:p w14:paraId="0B82634A" w14:textId="426C7281" w:rsidR="003B6540" w:rsidRPr="00F10A73" w:rsidRDefault="003B6540" w:rsidP="00E87859">
            <w:pPr>
              <w:jc w:val="center"/>
              <w:rPr>
                <w:rFonts w:ascii="Arial" w:hAnsi="Arial" w:cs="Arial"/>
                <w:b/>
                <w:bCs/>
              </w:rPr>
            </w:pPr>
            <w:r w:rsidRPr="00F10A73">
              <w:rPr>
                <w:rFonts w:ascii="Arial" w:hAnsi="Arial" w:cs="Arial"/>
                <w:b/>
                <w:bCs/>
              </w:rPr>
              <w:t>Cases</w:t>
            </w:r>
          </w:p>
        </w:tc>
        <w:tc>
          <w:tcPr>
            <w:tcW w:w="2970" w:type="dxa"/>
            <w:gridSpan w:val="2"/>
            <w:tcBorders>
              <w:top w:val="single" w:sz="4" w:space="0" w:color="auto"/>
              <w:bottom w:val="single" w:sz="4" w:space="0" w:color="auto"/>
            </w:tcBorders>
            <w:shd w:val="clear" w:color="auto" w:fill="F2F2F2" w:themeFill="background1" w:themeFillShade="F2"/>
          </w:tcPr>
          <w:p w14:paraId="2427B898" w14:textId="3F66963F" w:rsidR="003B6540" w:rsidRPr="00F10A73" w:rsidRDefault="003B6540" w:rsidP="00E87859">
            <w:pPr>
              <w:jc w:val="center"/>
              <w:rPr>
                <w:rFonts w:ascii="Arial" w:hAnsi="Arial" w:cs="Arial"/>
                <w:b/>
                <w:bCs/>
              </w:rPr>
            </w:pPr>
            <w:r w:rsidRPr="00F10A73">
              <w:rPr>
                <w:rFonts w:ascii="Arial" w:hAnsi="Arial" w:cs="Arial"/>
                <w:b/>
                <w:bCs/>
              </w:rPr>
              <w:t>Controls</w:t>
            </w:r>
          </w:p>
        </w:tc>
      </w:tr>
      <w:tr w:rsidR="003B6540" w:rsidRPr="00E87859" w14:paraId="31B465F3" w14:textId="77777777" w:rsidTr="00671661">
        <w:trPr>
          <w:trHeight w:val="50"/>
          <w:jc w:val="center"/>
        </w:trPr>
        <w:tc>
          <w:tcPr>
            <w:tcW w:w="1980" w:type="dxa"/>
            <w:vMerge/>
            <w:tcBorders>
              <w:bottom w:val="single" w:sz="4" w:space="0" w:color="auto"/>
            </w:tcBorders>
            <w:shd w:val="clear" w:color="auto" w:fill="F2F2F2" w:themeFill="background1" w:themeFillShade="F2"/>
          </w:tcPr>
          <w:p w14:paraId="3C41E4E7" w14:textId="77777777" w:rsidR="003B6540" w:rsidRPr="00F10A73" w:rsidRDefault="003B6540" w:rsidP="00E87859">
            <w:pPr>
              <w:rPr>
                <w:rFonts w:ascii="Arial" w:hAnsi="Arial" w:cs="Arial"/>
                <w:b/>
                <w:bCs/>
              </w:rPr>
            </w:pPr>
          </w:p>
        </w:tc>
        <w:tc>
          <w:tcPr>
            <w:tcW w:w="1417" w:type="dxa"/>
            <w:tcBorders>
              <w:top w:val="single" w:sz="4" w:space="0" w:color="auto"/>
              <w:bottom w:val="single" w:sz="4" w:space="0" w:color="auto"/>
            </w:tcBorders>
            <w:shd w:val="clear" w:color="auto" w:fill="F2F2F2" w:themeFill="background1" w:themeFillShade="F2"/>
          </w:tcPr>
          <w:p w14:paraId="46F73AAC" w14:textId="5C573653" w:rsidR="003B6540" w:rsidRPr="00F10A73" w:rsidRDefault="003B6540" w:rsidP="00E87859">
            <w:pPr>
              <w:jc w:val="center"/>
              <w:rPr>
                <w:rFonts w:ascii="Arial" w:hAnsi="Arial" w:cs="Arial"/>
                <w:b/>
                <w:bCs/>
              </w:rPr>
            </w:pPr>
            <w:r w:rsidRPr="00F10A73">
              <w:rPr>
                <w:rFonts w:ascii="Arial" w:hAnsi="Arial" w:cs="Arial"/>
                <w:b/>
                <w:bCs/>
              </w:rPr>
              <w:t>n</w:t>
            </w:r>
          </w:p>
        </w:tc>
        <w:tc>
          <w:tcPr>
            <w:tcW w:w="1560" w:type="dxa"/>
            <w:tcBorders>
              <w:top w:val="single" w:sz="4" w:space="0" w:color="auto"/>
              <w:bottom w:val="single" w:sz="4" w:space="0" w:color="auto"/>
            </w:tcBorders>
            <w:shd w:val="clear" w:color="auto" w:fill="F2F2F2" w:themeFill="background1" w:themeFillShade="F2"/>
          </w:tcPr>
          <w:p w14:paraId="1592C0A3" w14:textId="6505251C" w:rsidR="003B6540" w:rsidRPr="00F10A73" w:rsidRDefault="003B6540" w:rsidP="00E87859">
            <w:pPr>
              <w:jc w:val="center"/>
              <w:rPr>
                <w:rFonts w:ascii="Arial" w:hAnsi="Arial" w:cs="Arial"/>
                <w:b/>
                <w:bCs/>
              </w:rPr>
            </w:pPr>
            <w:r w:rsidRPr="00F10A73">
              <w:rPr>
                <w:rFonts w:ascii="Arial" w:hAnsi="Arial" w:cs="Arial"/>
                <w:b/>
                <w:bCs/>
              </w:rPr>
              <w:t>%</w:t>
            </w:r>
          </w:p>
        </w:tc>
        <w:tc>
          <w:tcPr>
            <w:tcW w:w="1417" w:type="dxa"/>
            <w:tcBorders>
              <w:top w:val="single" w:sz="4" w:space="0" w:color="auto"/>
              <w:bottom w:val="single" w:sz="4" w:space="0" w:color="auto"/>
            </w:tcBorders>
            <w:shd w:val="clear" w:color="auto" w:fill="F2F2F2" w:themeFill="background1" w:themeFillShade="F2"/>
          </w:tcPr>
          <w:p w14:paraId="39F4F320" w14:textId="3591B204" w:rsidR="003B6540" w:rsidRPr="00F10A73" w:rsidRDefault="003B6540" w:rsidP="00E87859">
            <w:pPr>
              <w:jc w:val="center"/>
              <w:rPr>
                <w:rFonts w:ascii="Arial" w:hAnsi="Arial" w:cs="Arial"/>
                <w:b/>
                <w:bCs/>
              </w:rPr>
            </w:pPr>
            <w:r w:rsidRPr="00F10A73">
              <w:rPr>
                <w:rFonts w:ascii="Arial" w:hAnsi="Arial" w:cs="Arial"/>
                <w:b/>
                <w:bCs/>
              </w:rPr>
              <w:t>n</w:t>
            </w:r>
          </w:p>
        </w:tc>
        <w:tc>
          <w:tcPr>
            <w:tcW w:w="1553" w:type="dxa"/>
            <w:tcBorders>
              <w:top w:val="single" w:sz="4" w:space="0" w:color="auto"/>
              <w:bottom w:val="single" w:sz="4" w:space="0" w:color="auto"/>
            </w:tcBorders>
            <w:shd w:val="clear" w:color="auto" w:fill="F2F2F2" w:themeFill="background1" w:themeFillShade="F2"/>
          </w:tcPr>
          <w:p w14:paraId="051FD82A" w14:textId="582CC256" w:rsidR="003B6540" w:rsidRPr="00F10A73" w:rsidRDefault="003B6540" w:rsidP="00E87859">
            <w:pPr>
              <w:jc w:val="center"/>
              <w:rPr>
                <w:rFonts w:ascii="Arial" w:hAnsi="Arial" w:cs="Arial"/>
                <w:b/>
                <w:bCs/>
              </w:rPr>
            </w:pPr>
            <w:r w:rsidRPr="00F10A73">
              <w:rPr>
                <w:rFonts w:ascii="Arial" w:hAnsi="Arial" w:cs="Arial"/>
                <w:b/>
                <w:bCs/>
              </w:rPr>
              <w:t>%</w:t>
            </w:r>
          </w:p>
        </w:tc>
      </w:tr>
      <w:tr w:rsidR="003B6540" w:rsidRPr="00E87859" w14:paraId="77BB8E35" w14:textId="77777777" w:rsidTr="00F10A73">
        <w:trPr>
          <w:trHeight w:val="83"/>
          <w:jc w:val="center"/>
        </w:trPr>
        <w:tc>
          <w:tcPr>
            <w:tcW w:w="1980" w:type="dxa"/>
            <w:tcBorders>
              <w:top w:val="single" w:sz="4" w:space="0" w:color="auto"/>
            </w:tcBorders>
          </w:tcPr>
          <w:p w14:paraId="70B7F8EF" w14:textId="5CE93E20" w:rsidR="003B6540" w:rsidRPr="00E87859" w:rsidRDefault="003B6540" w:rsidP="00E87859">
            <w:pPr>
              <w:jc w:val="both"/>
              <w:rPr>
                <w:rFonts w:ascii="Arial" w:hAnsi="Arial" w:cs="Arial"/>
                <w:b/>
                <w:bCs/>
              </w:rPr>
            </w:pPr>
            <w:r w:rsidRPr="00E87859">
              <w:rPr>
                <w:rFonts w:ascii="Arial" w:hAnsi="Arial" w:cs="Arial"/>
                <w:b/>
                <w:bCs/>
              </w:rPr>
              <w:t>Age</w:t>
            </w:r>
          </w:p>
        </w:tc>
        <w:tc>
          <w:tcPr>
            <w:tcW w:w="1417" w:type="dxa"/>
            <w:tcBorders>
              <w:top w:val="single" w:sz="4" w:space="0" w:color="auto"/>
            </w:tcBorders>
          </w:tcPr>
          <w:p w14:paraId="5CD5EAF9" w14:textId="77777777" w:rsidR="003B6540" w:rsidRPr="00E87859" w:rsidRDefault="003B6540" w:rsidP="00E87859">
            <w:pPr>
              <w:jc w:val="center"/>
              <w:rPr>
                <w:rFonts w:ascii="Arial" w:hAnsi="Arial" w:cs="Arial"/>
              </w:rPr>
            </w:pPr>
          </w:p>
        </w:tc>
        <w:tc>
          <w:tcPr>
            <w:tcW w:w="1560" w:type="dxa"/>
            <w:tcBorders>
              <w:top w:val="single" w:sz="4" w:space="0" w:color="auto"/>
            </w:tcBorders>
          </w:tcPr>
          <w:p w14:paraId="15A43FEE" w14:textId="77777777" w:rsidR="003B6540" w:rsidRPr="00E87859" w:rsidRDefault="003B6540" w:rsidP="00E87859">
            <w:pPr>
              <w:jc w:val="center"/>
              <w:rPr>
                <w:rFonts w:ascii="Arial" w:hAnsi="Arial" w:cs="Arial"/>
              </w:rPr>
            </w:pPr>
          </w:p>
        </w:tc>
        <w:tc>
          <w:tcPr>
            <w:tcW w:w="1417" w:type="dxa"/>
            <w:tcBorders>
              <w:top w:val="single" w:sz="4" w:space="0" w:color="auto"/>
            </w:tcBorders>
          </w:tcPr>
          <w:p w14:paraId="59354F66" w14:textId="77777777" w:rsidR="003B6540" w:rsidRPr="00E87859" w:rsidRDefault="003B6540" w:rsidP="00E87859">
            <w:pPr>
              <w:jc w:val="center"/>
              <w:rPr>
                <w:rFonts w:ascii="Arial" w:hAnsi="Arial" w:cs="Arial"/>
              </w:rPr>
            </w:pPr>
          </w:p>
        </w:tc>
        <w:tc>
          <w:tcPr>
            <w:tcW w:w="1553" w:type="dxa"/>
            <w:tcBorders>
              <w:top w:val="single" w:sz="4" w:space="0" w:color="auto"/>
            </w:tcBorders>
          </w:tcPr>
          <w:p w14:paraId="6D33CFE6" w14:textId="77777777" w:rsidR="003B6540" w:rsidRPr="00E87859" w:rsidRDefault="003B6540" w:rsidP="00E87859">
            <w:pPr>
              <w:jc w:val="center"/>
              <w:rPr>
                <w:rFonts w:ascii="Arial" w:hAnsi="Arial" w:cs="Arial"/>
              </w:rPr>
            </w:pPr>
          </w:p>
        </w:tc>
      </w:tr>
      <w:tr w:rsidR="003B6540" w:rsidRPr="00E87859" w14:paraId="01CC719F" w14:textId="77777777" w:rsidTr="00F10A73">
        <w:trPr>
          <w:trHeight w:val="60"/>
          <w:jc w:val="center"/>
        </w:trPr>
        <w:tc>
          <w:tcPr>
            <w:tcW w:w="1980" w:type="dxa"/>
          </w:tcPr>
          <w:p w14:paraId="714B7792" w14:textId="497A1F02" w:rsidR="003B6540" w:rsidRPr="00E87859" w:rsidRDefault="003B6540" w:rsidP="00F10A73">
            <w:pPr>
              <w:ind w:left="316"/>
              <w:jc w:val="both"/>
              <w:rPr>
                <w:rFonts w:ascii="Arial" w:hAnsi="Arial" w:cs="Arial"/>
              </w:rPr>
            </w:pPr>
            <w:r w:rsidRPr="00E87859">
              <w:rPr>
                <w:rFonts w:ascii="Arial" w:hAnsi="Arial" w:cs="Arial"/>
              </w:rPr>
              <w:t>35-44 years</w:t>
            </w:r>
          </w:p>
        </w:tc>
        <w:tc>
          <w:tcPr>
            <w:tcW w:w="1417" w:type="dxa"/>
          </w:tcPr>
          <w:p w14:paraId="773700AA" w14:textId="77777777" w:rsidR="003B6540" w:rsidRPr="00E87859" w:rsidRDefault="003B6540" w:rsidP="00E87859">
            <w:pPr>
              <w:jc w:val="center"/>
              <w:rPr>
                <w:rFonts w:ascii="Arial" w:hAnsi="Arial" w:cs="Arial"/>
              </w:rPr>
            </w:pPr>
            <w:r w:rsidRPr="00E87859">
              <w:rPr>
                <w:rFonts w:ascii="Arial" w:hAnsi="Arial" w:cs="Arial"/>
              </w:rPr>
              <w:t>27</w:t>
            </w:r>
          </w:p>
        </w:tc>
        <w:tc>
          <w:tcPr>
            <w:tcW w:w="1560" w:type="dxa"/>
          </w:tcPr>
          <w:p w14:paraId="142177DD" w14:textId="585B4FBE" w:rsidR="003B6540" w:rsidRPr="00671661" w:rsidRDefault="00671661" w:rsidP="00E87859">
            <w:pPr>
              <w:jc w:val="center"/>
              <w:rPr>
                <w:rFonts w:ascii="Arial" w:hAnsi="Arial" w:cs="Arial"/>
                <w:lang w:val="en-US"/>
              </w:rPr>
            </w:pPr>
            <w:r w:rsidRPr="00671661">
              <w:rPr>
                <w:rFonts w:ascii="Arial" w:hAnsi="Arial" w:cs="Arial"/>
                <w:lang w:val="en-US"/>
              </w:rPr>
              <w:t>54</w:t>
            </w:r>
          </w:p>
        </w:tc>
        <w:tc>
          <w:tcPr>
            <w:tcW w:w="1417" w:type="dxa"/>
          </w:tcPr>
          <w:p w14:paraId="630027BC" w14:textId="77777777" w:rsidR="003B6540" w:rsidRPr="00671661" w:rsidRDefault="003B6540" w:rsidP="00E87859">
            <w:pPr>
              <w:jc w:val="center"/>
              <w:rPr>
                <w:rFonts w:ascii="Arial" w:hAnsi="Arial" w:cs="Arial"/>
              </w:rPr>
            </w:pPr>
            <w:r w:rsidRPr="00671661">
              <w:rPr>
                <w:rFonts w:ascii="Arial" w:hAnsi="Arial" w:cs="Arial"/>
              </w:rPr>
              <w:t>39</w:t>
            </w:r>
          </w:p>
        </w:tc>
        <w:tc>
          <w:tcPr>
            <w:tcW w:w="1553" w:type="dxa"/>
          </w:tcPr>
          <w:p w14:paraId="180137F5" w14:textId="5C616B68" w:rsidR="003B6540" w:rsidRPr="00671661" w:rsidRDefault="00671661" w:rsidP="00E87859">
            <w:pPr>
              <w:jc w:val="center"/>
              <w:rPr>
                <w:rFonts w:ascii="Arial" w:hAnsi="Arial" w:cs="Arial"/>
                <w:lang w:val="en-US"/>
              </w:rPr>
            </w:pPr>
            <w:r w:rsidRPr="00671661">
              <w:rPr>
                <w:rFonts w:ascii="Arial" w:hAnsi="Arial" w:cs="Arial"/>
                <w:lang w:val="en-US"/>
              </w:rPr>
              <w:t>78</w:t>
            </w:r>
          </w:p>
        </w:tc>
      </w:tr>
      <w:tr w:rsidR="003B6540" w:rsidRPr="00E87859" w14:paraId="7FC9A89A" w14:textId="77777777" w:rsidTr="00F10A73">
        <w:trPr>
          <w:trHeight w:val="60"/>
          <w:jc w:val="center"/>
        </w:trPr>
        <w:tc>
          <w:tcPr>
            <w:tcW w:w="1980" w:type="dxa"/>
          </w:tcPr>
          <w:p w14:paraId="1B2F9C68" w14:textId="68E3BB48" w:rsidR="003B6540" w:rsidRPr="00E87859" w:rsidRDefault="003B6540" w:rsidP="00F10A73">
            <w:pPr>
              <w:ind w:left="316"/>
              <w:jc w:val="both"/>
              <w:rPr>
                <w:rFonts w:ascii="Arial" w:hAnsi="Arial" w:cs="Arial"/>
              </w:rPr>
            </w:pPr>
            <w:r w:rsidRPr="00E87859">
              <w:rPr>
                <w:rFonts w:ascii="Arial" w:hAnsi="Arial" w:cs="Arial"/>
              </w:rPr>
              <w:t>45-54 years</w:t>
            </w:r>
          </w:p>
        </w:tc>
        <w:tc>
          <w:tcPr>
            <w:tcW w:w="1417" w:type="dxa"/>
          </w:tcPr>
          <w:p w14:paraId="0C900BBE" w14:textId="77777777" w:rsidR="003B6540" w:rsidRPr="00E87859" w:rsidRDefault="003B6540" w:rsidP="00E87859">
            <w:pPr>
              <w:jc w:val="center"/>
              <w:rPr>
                <w:rFonts w:ascii="Arial" w:hAnsi="Arial" w:cs="Arial"/>
              </w:rPr>
            </w:pPr>
            <w:r w:rsidRPr="00E87859">
              <w:rPr>
                <w:rFonts w:ascii="Arial" w:hAnsi="Arial" w:cs="Arial"/>
              </w:rPr>
              <w:t>23</w:t>
            </w:r>
          </w:p>
        </w:tc>
        <w:tc>
          <w:tcPr>
            <w:tcW w:w="1560" w:type="dxa"/>
          </w:tcPr>
          <w:p w14:paraId="0D1F26DB" w14:textId="209239A8" w:rsidR="003B6540" w:rsidRPr="00671661" w:rsidRDefault="00671661" w:rsidP="00E87859">
            <w:pPr>
              <w:jc w:val="center"/>
              <w:rPr>
                <w:rFonts w:ascii="Arial" w:hAnsi="Arial" w:cs="Arial"/>
                <w:lang w:val="en-US"/>
              </w:rPr>
            </w:pPr>
            <w:r w:rsidRPr="00671661">
              <w:rPr>
                <w:rFonts w:ascii="Arial" w:hAnsi="Arial" w:cs="Arial"/>
                <w:lang w:val="en-US"/>
              </w:rPr>
              <w:t>46</w:t>
            </w:r>
          </w:p>
        </w:tc>
        <w:tc>
          <w:tcPr>
            <w:tcW w:w="1417" w:type="dxa"/>
          </w:tcPr>
          <w:p w14:paraId="7F226730" w14:textId="77777777" w:rsidR="003B6540" w:rsidRPr="00671661" w:rsidRDefault="003B6540" w:rsidP="00E87859">
            <w:pPr>
              <w:jc w:val="center"/>
              <w:rPr>
                <w:rFonts w:ascii="Arial" w:hAnsi="Arial" w:cs="Arial"/>
              </w:rPr>
            </w:pPr>
            <w:r w:rsidRPr="00671661">
              <w:rPr>
                <w:rFonts w:ascii="Arial" w:hAnsi="Arial" w:cs="Arial"/>
              </w:rPr>
              <w:t>11</w:t>
            </w:r>
          </w:p>
        </w:tc>
        <w:tc>
          <w:tcPr>
            <w:tcW w:w="1553" w:type="dxa"/>
          </w:tcPr>
          <w:p w14:paraId="65DD8F27" w14:textId="42F6D341" w:rsidR="003B6540" w:rsidRPr="00671661" w:rsidRDefault="00671661" w:rsidP="00E87859">
            <w:pPr>
              <w:jc w:val="center"/>
              <w:rPr>
                <w:rFonts w:ascii="Arial" w:hAnsi="Arial" w:cs="Arial"/>
                <w:lang w:val="en-US"/>
              </w:rPr>
            </w:pPr>
            <w:r w:rsidRPr="00671661">
              <w:rPr>
                <w:rFonts w:ascii="Arial" w:hAnsi="Arial" w:cs="Arial"/>
                <w:lang w:val="en-US"/>
              </w:rPr>
              <w:t>22</w:t>
            </w:r>
          </w:p>
        </w:tc>
      </w:tr>
      <w:tr w:rsidR="003B6540" w:rsidRPr="00E87859" w14:paraId="7311CBCB" w14:textId="77777777" w:rsidTr="00F10A73">
        <w:trPr>
          <w:trHeight w:val="104"/>
          <w:jc w:val="center"/>
        </w:trPr>
        <w:tc>
          <w:tcPr>
            <w:tcW w:w="1980" w:type="dxa"/>
          </w:tcPr>
          <w:p w14:paraId="76560930" w14:textId="4D765C6D" w:rsidR="003B6540" w:rsidRPr="00E87859" w:rsidRDefault="003B6540" w:rsidP="00E87859">
            <w:pPr>
              <w:jc w:val="both"/>
              <w:rPr>
                <w:rFonts w:ascii="Arial" w:hAnsi="Arial" w:cs="Arial"/>
              </w:rPr>
            </w:pPr>
            <w:r w:rsidRPr="00E87859">
              <w:rPr>
                <w:rFonts w:ascii="Arial" w:hAnsi="Arial" w:cs="Arial"/>
                <w:b/>
                <w:bCs/>
              </w:rPr>
              <w:t>Fat Intake</w:t>
            </w:r>
          </w:p>
        </w:tc>
        <w:tc>
          <w:tcPr>
            <w:tcW w:w="1417" w:type="dxa"/>
          </w:tcPr>
          <w:p w14:paraId="5DAB7058" w14:textId="77777777" w:rsidR="003B6540" w:rsidRPr="00E87859" w:rsidRDefault="003B6540" w:rsidP="00E87859">
            <w:pPr>
              <w:jc w:val="center"/>
              <w:rPr>
                <w:rFonts w:ascii="Arial" w:hAnsi="Arial" w:cs="Arial"/>
              </w:rPr>
            </w:pPr>
          </w:p>
        </w:tc>
        <w:tc>
          <w:tcPr>
            <w:tcW w:w="1560" w:type="dxa"/>
          </w:tcPr>
          <w:p w14:paraId="1501CE31" w14:textId="77777777" w:rsidR="003B6540" w:rsidRPr="00671661" w:rsidRDefault="003B6540" w:rsidP="00E87859">
            <w:pPr>
              <w:jc w:val="center"/>
              <w:rPr>
                <w:rFonts w:ascii="Arial" w:hAnsi="Arial" w:cs="Arial"/>
              </w:rPr>
            </w:pPr>
          </w:p>
        </w:tc>
        <w:tc>
          <w:tcPr>
            <w:tcW w:w="1417" w:type="dxa"/>
          </w:tcPr>
          <w:p w14:paraId="014FE8B3" w14:textId="77777777" w:rsidR="003B6540" w:rsidRPr="00671661" w:rsidRDefault="003B6540" w:rsidP="00E87859">
            <w:pPr>
              <w:jc w:val="center"/>
              <w:rPr>
                <w:rFonts w:ascii="Arial" w:hAnsi="Arial" w:cs="Arial"/>
              </w:rPr>
            </w:pPr>
          </w:p>
        </w:tc>
        <w:tc>
          <w:tcPr>
            <w:tcW w:w="1553" w:type="dxa"/>
          </w:tcPr>
          <w:p w14:paraId="719EC5A9" w14:textId="77777777" w:rsidR="003B6540" w:rsidRPr="00671661" w:rsidRDefault="003B6540" w:rsidP="00E87859">
            <w:pPr>
              <w:jc w:val="center"/>
              <w:rPr>
                <w:rFonts w:ascii="Arial" w:hAnsi="Arial" w:cs="Arial"/>
              </w:rPr>
            </w:pPr>
          </w:p>
        </w:tc>
      </w:tr>
      <w:tr w:rsidR="003B6540" w:rsidRPr="00E87859" w14:paraId="121C4F07" w14:textId="77777777" w:rsidTr="00F10A73">
        <w:trPr>
          <w:trHeight w:val="60"/>
          <w:jc w:val="center"/>
        </w:trPr>
        <w:tc>
          <w:tcPr>
            <w:tcW w:w="1980" w:type="dxa"/>
          </w:tcPr>
          <w:p w14:paraId="0CC4299A" w14:textId="1267B07F" w:rsidR="003B6540" w:rsidRPr="00E87859" w:rsidRDefault="003B6540" w:rsidP="00F10A73">
            <w:pPr>
              <w:ind w:left="316"/>
              <w:jc w:val="both"/>
              <w:rPr>
                <w:rFonts w:ascii="Arial" w:hAnsi="Arial" w:cs="Arial"/>
              </w:rPr>
            </w:pPr>
            <w:r w:rsidRPr="00E87859">
              <w:rPr>
                <w:rFonts w:ascii="Arial" w:hAnsi="Arial" w:cs="Arial"/>
              </w:rPr>
              <w:t>Low</w:t>
            </w:r>
          </w:p>
        </w:tc>
        <w:tc>
          <w:tcPr>
            <w:tcW w:w="1417" w:type="dxa"/>
          </w:tcPr>
          <w:p w14:paraId="5C7CC05A" w14:textId="77777777" w:rsidR="003B6540" w:rsidRPr="00E87859" w:rsidRDefault="003B6540" w:rsidP="00E87859">
            <w:pPr>
              <w:jc w:val="center"/>
              <w:rPr>
                <w:rFonts w:ascii="Arial" w:hAnsi="Arial" w:cs="Arial"/>
              </w:rPr>
            </w:pPr>
            <w:r w:rsidRPr="00E87859">
              <w:rPr>
                <w:rFonts w:ascii="Arial" w:hAnsi="Arial" w:cs="Arial"/>
              </w:rPr>
              <w:t>1</w:t>
            </w:r>
          </w:p>
        </w:tc>
        <w:tc>
          <w:tcPr>
            <w:tcW w:w="1560" w:type="dxa"/>
          </w:tcPr>
          <w:p w14:paraId="38EC1A82" w14:textId="00F34428" w:rsidR="003B6540" w:rsidRPr="00671661" w:rsidRDefault="00671661" w:rsidP="00E87859">
            <w:pPr>
              <w:jc w:val="center"/>
              <w:rPr>
                <w:rFonts w:ascii="Arial" w:hAnsi="Arial" w:cs="Arial"/>
                <w:lang w:val="en-US"/>
              </w:rPr>
            </w:pPr>
            <w:r w:rsidRPr="00671661">
              <w:rPr>
                <w:rFonts w:ascii="Arial" w:hAnsi="Arial" w:cs="Arial"/>
                <w:lang w:val="en-US"/>
              </w:rPr>
              <w:t>2</w:t>
            </w:r>
          </w:p>
        </w:tc>
        <w:tc>
          <w:tcPr>
            <w:tcW w:w="1417" w:type="dxa"/>
          </w:tcPr>
          <w:p w14:paraId="54C1B096" w14:textId="77777777" w:rsidR="003B6540" w:rsidRPr="00671661" w:rsidRDefault="003B6540" w:rsidP="00E87859">
            <w:pPr>
              <w:jc w:val="center"/>
              <w:rPr>
                <w:rFonts w:ascii="Arial" w:hAnsi="Arial" w:cs="Arial"/>
              </w:rPr>
            </w:pPr>
            <w:r w:rsidRPr="00671661">
              <w:rPr>
                <w:rFonts w:ascii="Arial" w:hAnsi="Arial" w:cs="Arial"/>
              </w:rPr>
              <w:t>17</w:t>
            </w:r>
          </w:p>
        </w:tc>
        <w:tc>
          <w:tcPr>
            <w:tcW w:w="1553" w:type="dxa"/>
          </w:tcPr>
          <w:p w14:paraId="25A04FA6" w14:textId="32D16CF9" w:rsidR="003B6540" w:rsidRPr="00671661" w:rsidRDefault="00671661" w:rsidP="00E87859">
            <w:pPr>
              <w:jc w:val="center"/>
              <w:rPr>
                <w:rFonts w:ascii="Arial" w:hAnsi="Arial" w:cs="Arial"/>
                <w:lang w:val="en-US"/>
              </w:rPr>
            </w:pPr>
            <w:r w:rsidRPr="00671661">
              <w:rPr>
                <w:rFonts w:ascii="Arial" w:hAnsi="Arial" w:cs="Arial"/>
                <w:lang w:val="en-US"/>
              </w:rPr>
              <w:t>34</w:t>
            </w:r>
          </w:p>
        </w:tc>
      </w:tr>
      <w:tr w:rsidR="003B6540" w:rsidRPr="00E87859" w14:paraId="72EB02C4" w14:textId="77777777" w:rsidTr="00F10A73">
        <w:trPr>
          <w:trHeight w:val="60"/>
          <w:jc w:val="center"/>
        </w:trPr>
        <w:tc>
          <w:tcPr>
            <w:tcW w:w="1980" w:type="dxa"/>
          </w:tcPr>
          <w:p w14:paraId="63106A1A" w14:textId="3A10A3A1" w:rsidR="003B6540" w:rsidRPr="00F10A73" w:rsidRDefault="003B6540" w:rsidP="00F10A73">
            <w:pPr>
              <w:ind w:left="316"/>
              <w:jc w:val="both"/>
              <w:rPr>
                <w:rFonts w:ascii="Arial" w:hAnsi="Arial" w:cs="Arial"/>
              </w:rPr>
            </w:pPr>
            <w:r w:rsidRPr="00F10A73">
              <w:rPr>
                <w:rFonts w:ascii="Arial" w:hAnsi="Arial" w:cs="Arial"/>
              </w:rPr>
              <w:t>Adequate</w:t>
            </w:r>
          </w:p>
        </w:tc>
        <w:tc>
          <w:tcPr>
            <w:tcW w:w="1417" w:type="dxa"/>
          </w:tcPr>
          <w:p w14:paraId="07C347E2" w14:textId="77777777" w:rsidR="003B6540" w:rsidRPr="00F10A73" w:rsidRDefault="003B6540" w:rsidP="00E87859">
            <w:pPr>
              <w:jc w:val="center"/>
              <w:rPr>
                <w:rFonts w:ascii="Arial" w:hAnsi="Arial" w:cs="Arial"/>
              </w:rPr>
            </w:pPr>
            <w:r w:rsidRPr="00F10A73">
              <w:rPr>
                <w:rFonts w:ascii="Arial" w:hAnsi="Arial" w:cs="Arial"/>
              </w:rPr>
              <w:t>6</w:t>
            </w:r>
          </w:p>
        </w:tc>
        <w:tc>
          <w:tcPr>
            <w:tcW w:w="1560" w:type="dxa"/>
          </w:tcPr>
          <w:p w14:paraId="69A953CF" w14:textId="5C0DEFBB" w:rsidR="003B6540" w:rsidRPr="00671661" w:rsidRDefault="00671661" w:rsidP="00E87859">
            <w:pPr>
              <w:jc w:val="center"/>
              <w:rPr>
                <w:rFonts w:ascii="Arial" w:hAnsi="Arial" w:cs="Arial"/>
                <w:lang w:val="en-US"/>
              </w:rPr>
            </w:pPr>
            <w:r w:rsidRPr="00671661">
              <w:rPr>
                <w:rFonts w:ascii="Arial" w:hAnsi="Arial" w:cs="Arial"/>
                <w:lang w:val="en-US"/>
              </w:rPr>
              <w:t>12</w:t>
            </w:r>
          </w:p>
        </w:tc>
        <w:tc>
          <w:tcPr>
            <w:tcW w:w="1417" w:type="dxa"/>
          </w:tcPr>
          <w:p w14:paraId="20011A92" w14:textId="77777777" w:rsidR="003B6540" w:rsidRPr="00671661" w:rsidRDefault="003B6540" w:rsidP="00E87859">
            <w:pPr>
              <w:jc w:val="center"/>
              <w:rPr>
                <w:rFonts w:ascii="Arial" w:hAnsi="Arial" w:cs="Arial"/>
              </w:rPr>
            </w:pPr>
            <w:r w:rsidRPr="00671661">
              <w:rPr>
                <w:rFonts w:ascii="Arial" w:hAnsi="Arial" w:cs="Arial"/>
              </w:rPr>
              <w:t>31</w:t>
            </w:r>
          </w:p>
        </w:tc>
        <w:tc>
          <w:tcPr>
            <w:tcW w:w="1553" w:type="dxa"/>
          </w:tcPr>
          <w:p w14:paraId="65651BDE" w14:textId="3B58432D" w:rsidR="003B6540" w:rsidRPr="00671661" w:rsidRDefault="00671661" w:rsidP="00E87859">
            <w:pPr>
              <w:jc w:val="center"/>
              <w:rPr>
                <w:rFonts w:ascii="Arial" w:hAnsi="Arial" w:cs="Arial"/>
                <w:lang w:val="en-US"/>
              </w:rPr>
            </w:pPr>
            <w:r w:rsidRPr="00671661">
              <w:rPr>
                <w:rFonts w:ascii="Arial" w:hAnsi="Arial" w:cs="Arial"/>
                <w:lang w:val="en-US"/>
              </w:rPr>
              <w:t>62</w:t>
            </w:r>
          </w:p>
        </w:tc>
      </w:tr>
      <w:tr w:rsidR="00F10A73" w:rsidRPr="00E87859" w14:paraId="4706E80E" w14:textId="77777777" w:rsidTr="00F10A73">
        <w:trPr>
          <w:trHeight w:val="60"/>
          <w:jc w:val="center"/>
        </w:trPr>
        <w:tc>
          <w:tcPr>
            <w:tcW w:w="1980" w:type="dxa"/>
          </w:tcPr>
          <w:p w14:paraId="17D744CD" w14:textId="20981334" w:rsidR="00F10A73" w:rsidRPr="00F10A73" w:rsidRDefault="00F10A73" w:rsidP="00F10A73">
            <w:pPr>
              <w:ind w:left="316"/>
              <w:jc w:val="both"/>
              <w:rPr>
                <w:rFonts w:ascii="Arial" w:hAnsi="Arial" w:cs="Arial"/>
              </w:rPr>
            </w:pPr>
            <w:r w:rsidRPr="00F10A73">
              <w:rPr>
                <w:rFonts w:ascii="Arial" w:hAnsi="Arial" w:cs="Arial"/>
              </w:rPr>
              <w:t>Excessive</w:t>
            </w:r>
          </w:p>
        </w:tc>
        <w:tc>
          <w:tcPr>
            <w:tcW w:w="1417" w:type="dxa"/>
          </w:tcPr>
          <w:p w14:paraId="38773574" w14:textId="05256525" w:rsidR="00F10A73" w:rsidRPr="00F10A73" w:rsidRDefault="00F10A73" w:rsidP="00F10A73">
            <w:pPr>
              <w:jc w:val="center"/>
              <w:rPr>
                <w:rFonts w:ascii="Arial" w:hAnsi="Arial" w:cs="Arial"/>
              </w:rPr>
            </w:pPr>
            <w:r w:rsidRPr="00F10A73">
              <w:rPr>
                <w:rFonts w:ascii="Arial" w:hAnsi="Arial" w:cs="Arial"/>
              </w:rPr>
              <w:t>43</w:t>
            </w:r>
          </w:p>
        </w:tc>
        <w:tc>
          <w:tcPr>
            <w:tcW w:w="1560" w:type="dxa"/>
          </w:tcPr>
          <w:p w14:paraId="504A8555" w14:textId="75E37DC2" w:rsidR="00F10A73" w:rsidRPr="00671661" w:rsidRDefault="00671661" w:rsidP="00F10A73">
            <w:pPr>
              <w:jc w:val="center"/>
              <w:rPr>
                <w:rFonts w:ascii="Arial" w:hAnsi="Arial" w:cs="Arial"/>
                <w:lang w:val="en-US"/>
              </w:rPr>
            </w:pPr>
            <w:r w:rsidRPr="00671661">
              <w:rPr>
                <w:rFonts w:ascii="Arial" w:hAnsi="Arial" w:cs="Arial"/>
                <w:lang w:val="en-US"/>
              </w:rPr>
              <w:t>86</w:t>
            </w:r>
          </w:p>
        </w:tc>
        <w:tc>
          <w:tcPr>
            <w:tcW w:w="1417" w:type="dxa"/>
          </w:tcPr>
          <w:p w14:paraId="55E9FC79" w14:textId="28564C02" w:rsidR="00F10A73" w:rsidRPr="00671661" w:rsidRDefault="00F10A73" w:rsidP="00F10A73">
            <w:pPr>
              <w:jc w:val="center"/>
              <w:rPr>
                <w:rFonts w:ascii="Arial" w:hAnsi="Arial" w:cs="Arial"/>
              </w:rPr>
            </w:pPr>
            <w:r w:rsidRPr="00671661">
              <w:rPr>
                <w:rFonts w:ascii="Arial" w:hAnsi="Arial" w:cs="Arial"/>
              </w:rPr>
              <w:t>2</w:t>
            </w:r>
          </w:p>
        </w:tc>
        <w:tc>
          <w:tcPr>
            <w:tcW w:w="1553" w:type="dxa"/>
          </w:tcPr>
          <w:p w14:paraId="0C878BB2" w14:textId="163010F8" w:rsidR="00F10A73" w:rsidRPr="00671661" w:rsidRDefault="00671661" w:rsidP="00F10A73">
            <w:pPr>
              <w:jc w:val="center"/>
              <w:rPr>
                <w:rFonts w:ascii="Arial" w:hAnsi="Arial" w:cs="Arial"/>
                <w:lang w:val="en-US"/>
              </w:rPr>
            </w:pPr>
            <w:r w:rsidRPr="00671661">
              <w:rPr>
                <w:rFonts w:ascii="Arial" w:hAnsi="Arial" w:cs="Arial"/>
                <w:lang w:val="en-US"/>
              </w:rPr>
              <w:t>4</w:t>
            </w:r>
          </w:p>
        </w:tc>
      </w:tr>
      <w:tr w:rsidR="00F10A73" w:rsidRPr="00E87859" w14:paraId="369451F5" w14:textId="77777777" w:rsidTr="00F10A73">
        <w:trPr>
          <w:trHeight w:val="60"/>
          <w:jc w:val="center"/>
        </w:trPr>
        <w:tc>
          <w:tcPr>
            <w:tcW w:w="1980" w:type="dxa"/>
          </w:tcPr>
          <w:p w14:paraId="504606A6" w14:textId="7318FFDD" w:rsidR="00F10A73" w:rsidRPr="00F10A73" w:rsidRDefault="00F10A73" w:rsidP="00F10A73">
            <w:pPr>
              <w:jc w:val="both"/>
              <w:rPr>
                <w:rFonts w:ascii="Arial" w:hAnsi="Arial" w:cs="Arial"/>
              </w:rPr>
            </w:pPr>
            <w:r w:rsidRPr="00F10A73">
              <w:rPr>
                <w:rFonts w:ascii="Arial" w:hAnsi="Arial" w:cs="Arial"/>
                <w:b/>
                <w:bCs/>
              </w:rPr>
              <w:t>Obesity</w:t>
            </w:r>
          </w:p>
        </w:tc>
        <w:tc>
          <w:tcPr>
            <w:tcW w:w="1417" w:type="dxa"/>
          </w:tcPr>
          <w:p w14:paraId="2979E141" w14:textId="77777777" w:rsidR="00F10A73" w:rsidRPr="00F10A73" w:rsidRDefault="00F10A73" w:rsidP="00F10A73">
            <w:pPr>
              <w:jc w:val="center"/>
              <w:rPr>
                <w:rFonts w:ascii="Arial" w:hAnsi="Arial" w:cs="Arial"/>
              </w:rPr>
            </w:pPr>
          </w:p>
        </w:tc>
        <w:tc>
          <w:tcPr>
            <w:tcW w:w="1560" w:type="dxa"/>
          </w:tcPr>
          <w:p w14:paraId="43C33103" w14:textId="77777777" w:rsidR="00F10A73" w:rsidRPr="00671661" w:rsidRDefault="00F10A73" w:rsidP="00F10A73">
            <w:pPr>
              <w:jc w:val="center"/>
              <w:rPr>
                <w:rFonts w:ascii="Arial" w:hAnsi="Arial" w:cs="Arial"/>
              </w:rPr>
            </w:pPr>
          </w:p>
        </w:tc>
        <w:tc>
          <w:tcPr>
            <w:tcW w:w="1417" w:type="dxa"/>
          </w:tcPr>
          <w:p w14:paraId="323C14FC" w14:textId="77777777" w:rsidR="00F10A73" w:rsidRPr="00671661" w:rsidRDefault="00F10A73" w:rsidP="00F10A73">
            <w:pPr>
              <w:jc w:val="center"/>
              <w:rPr>
                <w:rFonts w:ascii="Arial" w:hAnsi="Arial" w:cs="Arial"/>
              </w:rPr>
            </w:pPr>
          </w:p>
        </w:tc>
        <w:tc>
          <w:tcPr>
            <w:tcW w:w="1553" w:type="dxa"/>
          </w:tcPr>
          <w:p w14:paraId="45FDD9AB" w14:textId="77777777" w:rsidR="00F10A73" w:rsidRPr="00671661" w:rsidRDefault="00F10A73" w:rsidP="00F10A73">
            <w:pPr>
              <w:jc w:val="center"/>
              <w:rPr>
                <w:rFonts w:ascii="Arial" w:hAnsi="Arial" w:cs="Arial"/>
              </w:rPr>
            </w:pPr>
          </w:p>
        </w:tc>
      </w:tr>
      <w:tr w:rsidR="00F10A73" w:rsidRPr="00E87859" w14:paraId="6C7B2B9C" w14:textId="77777777" w:rsidTr="00F10A73">
        <w:trPr>
          <w:trHeight w:val="60"/>
          <w:jc w:val="center"/>
        </w:trPr>
        <w:tc>
          <w:tcPr>
            <w:tcW w:w="1980" w:type="dxa"/>
          </w:tcPr>
          <w:p w14:paraId="3A8C6DE1" w14:textId="4C44EA4B" w:rsidR="00F10A73" w:rsidRPr="00F10A73" w:rsidRDefault="00F10A73" w:rsidP="00F10A73">
            <w:pPr>
              <w:ind w:left="316"/>
              <w:jc w:val="both"/>
              <w:rPr>
                <w:rFonts w:ascii="Arial" w:hAnsi="Arial" w:cs="Arial"/>
                <w:b/>
                <w:bCs/>
              </w:rPr>
            </w:pPr>
            <w:r w:rsidRPr="00F10A73">
              <w:rPr>
                <w:rFonts w:ascii="Arial" w:hAnsi="Arial" w:cs="Arial"/>
              </w:rPr>
              <w:t>Non-obese</w:t>
            </w:r>
          </w:p>
        </w:tc>
        <w:tc>
          <w:tcPr>
            <w:tcW w:w="1417" w:type="dxa"/>
          </w:tcPr>
          <w:p w14:paraId="386027F5" w14:textId="0ADD2B5F" w:rsidR="00F10A73" w:rsidRPr="00F10A73" w:rsidRDefault="00F10A73" w:rsidP="00F10A73">
            <w:pPr>
              <w:jc w:val="center"/>
              <w:rPr>
                <w:rFonts w:ascii="Arial" w:hAnsi="Arial" w:cs="Arial"/>
              </w:rPr>
            </w:pPr>
            <w:r w:rsidRPr="00F10A73">
              <w:rPr>
                <w:rFonts w:ascii="Arial" w:hAnsi="Arial" w:cs="Arial"/>
              </w:rPr>
              <w:t>11</w:t>
            </w:r>
          </w:p>
        </w:tc>
        <w:tc>
          <w:tcPr>
            <w:tcW w:w="1560" w:type="dxa"/>
          </w:tcPr>
          <w:p w14:paraId="5BE9A5F6" w14:textId="754C9520" w:rsidR="00F10A73" w:rsidRPr="00671661" w:rsidRDefault="00671661" w:rsidP="00F10A73">
            <w:pPr>
              <w:jc w:val="center"/>
              <w:rPr>
                <w:rFonts w:ascii="Arial" w:hAnsi="Arial" w:cs="Arial"/>
                <w:lang w:val="en-US"/>
              </w:rPr>
            </w:pPr>
            <w:r w:rsidRPr="00671661">
              <w:rPr>
                <w:rFonts w:ascii="Arial" w:hAnsi="Arial" w:cs="Arial"/>
                <w:lang w:val="en-US"/>
              </w:rPr>
              <w:t>22</w:t>
            </w:r>
          </w:p>
        </w:tc>
        <w:tc>
          <w:tcPr>
            <w:tcW w:w="1417" w:type="dxa"/>
          </w:tcPr>
          <w:p w14:paraId="2D90C4E8" w14:textId="59796A78" w:rsidR="00F10A73" w:rsidRPr="00671661" w:rsidRDefault="00F10A73" w:rsidP="00F10A73">
            <w:pPr>
              <w:jc w:val="center"/>
              <w:rPr>
                <w:rFonts w:ascii="Arial" w:hAnsi="Arial" w:cs="Arial"/>
              </w:rPr>
            </w:pPr>
            <w:r w:rsidRPr="00671661">
              <w:rPr>
                <w:rFonts w:ascii="Arial" w:hAnsi="Arial" w:cs="Arial"/>
              </w:rPr>
              <w:t>45</w:t>
            </w:r>
          </w:p>
        </w:tc>
        <w:tc>
          <w:tcPr>
            <w:tcW w:w="1553" w:type="dxa"/>
          </w:tcPr>
          <w:p w14:paraId="25DEB965" w14:textId="06881CFF" w:rsidR="00F10A73" w:rsidRPr="00671661" w:rsidRDefault="00671661" w:rsidP="00F10A73">
            <w:pPr>
              <w:jc w:val="center"/>
              <w:rPr>
                <w:rFonts w:ascii="Arial" w:hAnsi="Arial" w:cs="Arial"/>
                <w:lang w:val="en-US"/>
              </w:rPr>
            </w:pPr>
            <w:r w:rsidRPr="00671661">
              <w:rPr>
                <w:rFonts w:ascii="Arial" w:hAnsi="Arial" w:cs="Arial"/>
                <w:lang w:val="en-US"/>
              </w:rPr>
              <w:t>90</w:t>
            </w:r>
          </w:p>
        </w:tc>
      </w:tr>
      <w:tr w:rsidR="00F10A73" w:rsidRPr="00E87859" w14:paraId="3D7F905E" w14:textId="77777777" w:rsidTr="00F10A73">
        <w:trPr>
          <w:trHeight w:val="60"/>
          <w:jc w:val="center"/>
        </w:trPr>
        <w:tc>
          <w:tcPr>
            <w:tcW w:w="1980" w:type="dxa"/>
          </w:tcPr>
          <w:p w14:paraId="795A84D9" w14:textId="61D235A5" w:rsidR="00F10A73" w:rsidRPr="00F10A73" w:rsidRDefault="00F10A73" w:rsidP="00F10A73">
            <w:pPr>
              <w:ind w:left="316"/>
              <w:jc w:val="both"/>
              <w:rPr>
                <w:rFonts w:ascii="Arial" w:hAnsi="Arial" w:cs="Arial"/>
              </w:rPr>
            </w:pPr>
            <w:r w:rsidRPr="00F10A73">
              <w:rPr>
                <w:rFonts w:ascii="Arial" w:hAnsi="Arial" w:cs="Arial"/>
              </w:rPr>
              <w:t>Obese</w:t>
            </w:r>
          </w:p>
        </w:tc>
        <w:tc>
          <w:tcPr>
            <w:tcW w:w="1417" w:type="dxa"/>
          </w:tcPr>
          <w:p w14:paraId="20A77AAF" w14:textId="5860F06E" w:rsidR="00F10A73" w:rsidRPr="00F10A73" w:rsidRDefault="00F10A73" w:rsidP="00F10A73">
            <w:pPr>
              <w:jc w:val="center"/>
              <w:rPr>
                <w:rFonts w:ascii="Arial" w:hAnsi="Arial" w:cs="Arial"/>
              </w:rPr>
            </w:pPr>
            <w:r w:rsidRPr="00F10A73">
              <w:rPr>
                <w:rFonts w:ascii="Arial" w:hAnsi="Arial" w:cs="Arial"/>
              </w:rPr>
              <w:t>39</w:t>
            </w:r>
          </w:p>
        </w:tc>
        <w:tc>
          <w:tcPr>
            <w:tcW w:w="1560" w:type="dxa"/>
          </w:tcPr>
          <w:p w14:paraId="541A5D2C" w14:textId="32F2875B" w:rsidR="00F10A73" w:rsidRPr="00671661" w:rsidRDefault="00671661" w:rsidP="00F10A73">
            <w:pPr>
              <w:jc w:val="center"/>
              <w:rPr>
                <w:rFonts w:ascii="Arial" w:hAnsi="Arial" w:cs="Arial"/>
                <w:lang w:val="en-US"/>
              </w:rPr>
            </w:pPr>
            <w:r w:rsidRPr="00671661">
              <w:rPr>
                <w:rFonts w:ascii="Arial" w:hAnsi="Arial" w:cs="Arial"/>
                <w:lang w:val="en-US"/>
              </w:rPr>
              <w:t>78</w:t>
            </w:r>
          </w:p>
        </w:tc>
        <w:tc>
          <w:tcPr>
            <w:tcW w:w="1417" w:type="dxa"/>
          </w:tcPr>
          <w:p w14:paraId="12753369" w14:textId="53A9E78F" w:rsidR="00F10A73" w:rsidRPr="00671661" w:rsidRDefault="00F10A73" w:rsidP="00F10A73">
            <w:pPr>
              <w:jc w:val="center"/>
              <w:rPr>
                <w:rFonts w:ascii="Arial" w:hAnsi="Arial" w:cs="Arial"/>
              </w:rPr>
            </w:pPr>
            <w:r w:rsidRPr="00671661">
              <w:rPr>
                <w:rFonts w:ascii="Arial" w:hAnsi="Arial" w:cs="Arial"/>
              </w:rPr>
              <w:t>5</w:t>
            </w:r>
          </w:p>
        </w:tc>
        <w:tc>
          <w:tcPr>
            <w:tcW w:w="1553" w:type="dxa"/>
          </w:tcPr>
          <w:p w14:paraId="3541EF21" w14:textId="28075BE7" w:rsidR="00F10A73" w:rsidRPr="00671661" w:rsidRDefault="00671661" w:rsidP="00F10A73">
            <w:pPr>
              <w:jc w:val="center"/>
              <w:rPr>
                <w:rFonts w:ascii="Arial" w:hAnsi="Arial" w:cs="Arial"/>
                <w:lang w:val="en-US"/>
              </w:rPr>
            </w:pPr>
            <w:r w:rsidRPr="00671661">
              <w:rPr>
                <w:rFonts w:ascii="Arial" w:hAnsi="Arial" w:cs="Arial"/>
                <w:lang w:val="en-US"/>
              </w:rPr>
              <w:t>10</w:t>
            </w:r>
          </w:p>
        </w:tc>
      </w:tr>
    </w:tbl>
    <w:p w14:paraId="29E0E9FB" w14:textId="77777777" w:rsidR="007D3BE7" w:rsidRDefault="007D3BE7" w:rsidP="00A2170B">
      <w:pPr>
        <w:spacing w:line="360" w:lineRule="auto"/>
        <w:ind w:firstLine="720"/>
        <w:jc w:val="both"/>
        <w:rPr>
          <w:rFonts w:ascii="Arial" w:hAnsi="Arial" w:cs="Arial"/>
        </w:rPr>
        <w:sectPr w:rsidR="007D3BE7" w:rsidSect="00E87859">
          <w:type w:val="continuous"/>
          <w:pgSz w:w="11906" w:h="16838"/>
          <w:pgMar w:top="1440" w:right="1440" w:bottom="1440" w:left="1440" w:header="708" w:footer="708" w:gutter="0"/>
          <w:cols w:space="708"/>
          <w:docGrid w:linePitch="360"/>
        </w:sectPr>
      </w:pPr>
    </w:p>
    <w:p w14:paraId="1CFDC022" w14:textId="213356C9" w:rsidR="007D3BE7" w:rsidRDefault="00A2170B" w:rsidP="007D3BE7">
      <w:pPr>
        <w:spacing w:after="0" w:line="360" w:lineRule="auto"/>
        <w:ind w:firstLine="720"/>
        <w:jc w:val="both"/>
        <w:rPr>
          <w:rFonts w:ascii="Arial" w:hAnsi="Arial" w:cs="Arial"/>
        </w:rPr>
        <w:sectPr w:rsidR="007D3BE7" w:rsidSect="007D3BE7">
          <w:type w:val="continuous"/>
          <w:pgSz w:w="11906" w:h="16838"/>
          <w:pgMar w:top="1440" w:right="1440" w:bottom="1440" w:left="1440" w:header="708" w:footer="708" w:gutter="0"/>
          <w:cols w:num="2" w:space="708"/>
          <w:docGrid w:linePitch="360"/>
        </w:sectPr>
      </w:pPr>
      <w:r w:rsidRPr="00A2170B">
        <w:rPr>
          <w:rFonts w:ascii="Arial" w:hAnsi="Arial" w:cs="Arial"/>
        </w:rPr>
        <w:lastRenderedPageBreak/>
        <w:t xml:space="preserve">Based on the distribution of characteristics, it can be seen that the majority of case subjects have more fat intake, </w:t>
      </w:r>
      <w:r w:rsidR="00E24085">
        <w:rPr>
          <w:rFonts w:ascii="Arial" w:hAnsi="Arial" w:cs="Arial"/>
        </w:rPr>
        <w:t>an obese status, and are aged 35-</w:t>
      </w:r>
      <w:r w:rsidR="00E24085">
        <w:rPr>
          <w:rFonts w:ascii="Arial" w:hAnsi="Arial" w:cs="Arial"/>
        </w:rPr>
        <w:t xml:space="preserve">44 years, while control subjects generally have sufficient fat intake, are not obese, and are </w:t>
      </w:r>
      <w:r w:rsidRPr="00A2170B">
        <w:rPr>
          <w:rFonts w:ascii="Arial" w:hAnsi="Arial" w:cs="Arial"/>
        </w:rPr>
        <w:t>aged 35-44 years.</w:t>
      </w:r>
    </w:p>
    <w:p w14:paraId="5B39DDCA" w14:textId="487A7595" w:rsidR="003B6540" w:rsidRDefault="003B6540" w:rsidP="007D3BE7">
      <w:pPr>
        <w:spacing w:after="0" w:line="360" w:lineRule="auto"/>
        <w:ind w:firstLine="720"/>
        <w:jc w:val="both"/>
        <w:rPr>
          <w:rFonts w:ascii="Arial" w:hAnsi="Arial" w:cs="Arial"/>
        </w:rPr>
      </w:pPr>
    </w:p>
    <w:p w14:paraId="5A74772A" w14:textId="66E9B141" w:rsidR="00A2170B" w:rsidRPr="007D3BE7" w:rsidRDefault="00A2170B" w:rsidP="007D3BE7">
      <w:pPr>
        <w:spacing w:after="0" w:line="276" w:lineRule="auto"/>
        <w:ind w:left="567"/>
        <w:rPr>
          <w:rFonts w:ascii="Arial" w:hAnsi="Arial" w:cs="Arial"/>
          <w:sz w:val="20"/>
          <w:szCs w:val="20"/>
          <w:lang w:val="en-US"/>
        </w:rPr>
      </w:pPr>
      <w:r w:rsidRPr="007D3BE7">
        <w:rPr>
          <w:rFonts w:ascii="Arial" w:hAnsi="Arial" w:cs="Arial"/>
          <w:b/>
          <w:sz w:val="20"/>
          <w:szCs w:val="20"/>
        </w:rPr>
        <w:t xml:space="preserve">Table 2. </w:t>
      </w:r>
      <w:r w:rsidRPr="007D3BE7">
        <w:rPr>
          <w:rFonts w:ascii="Arial" w:hAnsi="Arial" w:cs="Arial"/>
          <w:bCs/>
          <w:sz w:val="20"/>
          <w:szCs w:val="20"/>
        </w:rPr>
        <w:t>Relationship between Fat Intake and Hypertension</w:t>
      </w:r>
      <w:r w:rsidR="007D3BE7">
        <w:rPr>
          <w:rFonts w:ascii="Arial" w:hAnsi="Arial" w:cs="Arial"/>
          <w:bCs/>
          <w:sz w:val="20"/>
          <w:szCs w:val="20"/>
          <w:lang w:val="en-US"/>
        </w:rPr>
        <w:t xml:space="preserve"> </w:t>
      </w:r>
      <w:r w:rsidR="007D3BE7">
        <w:rPr>
          <w:rFonts w:ascii="Arial" w:hAnsi="Arial" w:cs="Arial"/>
          <w:sz w:val="20"/>
          <w:szCs w:val="20"/>
          <w:lang w:val="en-US"/>
        </w:rPr>
        <w:t>(n=50)</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1321"/>
        <w:gridCol w:w="1321"/>
        <w:gridCol w:w="1321"/>
        <w:gridCol w:w="1321"/>
        <w:gridCol w:w="1322"/>
      </w:tblGrid>
      <w:tr w:rsidR="00A2170B" w:rsidRPr="007D3BE7" w14:paraId="736F2419" w14:textId="77777777" w:rsidTr="00671661">
        <w:trPr>
          <w:jc w:val="center"/>
        </w:trPr>
        <w:tc>
          <w:tcPr>
            <w:tcW w:w="1321" w:type="dxa"/>
            <w:vMerge w:val="restart"/>
            <w:shd w:val="clear" w:color="auto" w:fill="F2F2F2" w:themeFill="background1" w:themeFillShade="F2"/>
            <w:vAlign w:val="center"/>
          </w:tcPr>
          <w:p w14:paraId="73DC6C65" w14:textId="3FFEE53C" w:rsidR="00A2170B" w:rsidRPr="007D3BE7" w:rsidRDefault="00A2170B" w:rsidP="007D3BE7">
            <w:pPr>
              <w:spacing w:line="276" w:lineRule="auto"/>
              <w:rPr>
                <w:rFonts w:ascii="Arial" w:hAnsi="Arial" w:cs="Arial"/>
                <w:b/>
                <w:bCs/>
              </w:rPr>
            </w:pPr>
            <w:r w:rsidRPr="007D3BE7">
              <w:rPr>
                <w:rFonts w:ascii="Arial" w:hAnsi="Arial" w:cs="Arial"/>
                <w:b/>
                <w:bCs/>
              </w:rPr>
              <w:t>Fat Intake</w:t>
            </w:r>
          </w:p>
        </w:tc>
        <w:tc>
          <w:tcPr>
            <w:tcW w:w="2642" w:type="dxa"/>
            <w:gridSpan w:val="2"/>
            <w:tcBorders>
              <w:bottom w:val="single" w:sz="4" w:space="0" w:color="auto"/>
            </w:tcBorders>
            <w:shd w:val="clear" w:color="auto" w:fill="F2F2F2" w:themeFill="background1" w:themeFillShade="F2"/>
          </w:tcPr>
          <w:p w14:paraId="6A374F62" w14:textId="0696A71D" w:rsidR="00A2170B" w:rsidRPr="007D3BE7" w:rsidRDefault="00A2170B" w:rsidP="007D3BE7">
            <w:pPr>
              <w:spacing w:line="276" w:lineRule="auto"/>
              <w:jc w:val="center"/>
              <w:rPr>
                <w:rFonts w:ascii="Arial" w:hAnsi="Arial" w:cs="Arial"/>
                <w:b/>
                <w:bCs/>
              </w:rPr>
            </w:pPr>
            <w:r w:rsidRPr="007D3BE7">
              <w:rPr>
                <w:rFonts w:ascii="Arial" w:hAnsi="Arial" w:cs="Arial"/>
                <w:b/>
                <w:bCs/>
              </w:rPr>
              <w:t>Cases</w:t>
            </w:r>
          </w:p>
        </w:tc>
        <w:tc>
          <w:tcPr>
            <w:tcW w:w="2642" w:type="dxa"/>
            <w:gridSpan w:val="2"/>
            <w:tcBorders>
              <w:bottom w:val="single" w:sz="4" w:space="0" w:color="auto"/>
            </w:tcBorders>
            <w:shd w:val="clear" w:color="auto" w:fill="F2F2F2" w:themeFill="background1" w:themeFillShade="F2"/>
          </w:tcPr>
          <w:p w14:paraId="66ED43A2" w14:textId="35AD6553" w:rsidR="00A2170B" w:rsidRPr="007D3BE7" w:rsidRDefault="00A2170B" w:rsidP="007D3BE7">
            <w:pPr>
              <w:spacing w:line="276" w:lineRule="auto"/>
              <w:jc w:val="center"/>
              <w:rPr>
                <w:rFonts w:ascii="Arial" w:hAnsi="Arial" w:cs="Arial"/>
                <w:b/>
                <w:bCs/>
              </w:rPr>
            </w:pPr>
            <w:r w:rsidRPr="007D3BE7">
              <w:rPr>
                <w:rFonts w:ascii="Arial" w:hAnsi="Arial" w:cs="Arial"/>
                <w:b/>
                <w:bCs/>
              </w:rPr>
              <w:t>Controls</w:t>
            </w:r>
          </w:p>
        </w:tc>
        <w:tc>
          <w:tcPr>
            <w:tcW w:w="1322" w:type="dxa"/>
            <w:vMerge w:val="restart"/>
            <w:shd w:val="clear" w:color="auto" w:fill="F2F2F2" w:themeFill="background1" w:themeFillShade="F2"/>
            <w:vAlign w:val="center"/>
          </w:tcPr>
          <w:p w14:paraId="3748804F" w14:textId="77777777" w:rsidR="00A2170B" w:rsidRPr="007D3BE7" w:rsidRDefault="00A2170B" w:rsidP="007D3BE7">
            <w:pPr>
              <w:spacing w:line="276" w:lineRule="auto"/>
              <w:jc w:val="center"/>
              <w:rPr>
                <w:rFonts w:ascii="Arial" w:hAnsi="Arial" w:cs="Arial"/>
                <w:b/>
                <w:bCs/>
              </w:rPr>
            </w:pPr>
            <w:r w:rsidRPr="007D3BE7">
              <w:rPr>
                <w:rFonts w:ascii="Arial" w:hAnsi="Arial" w:cs="Arial"/>
                <w:b/>
                <w:bCs/>
              </w:rPr>
              <w:t xml:space="preserve">P </w:t>
            </w:r>
            <w:r w:rsidRPr="007D3BE7">
              <w:rPr>
                <w:rFonts w:ascii="Arial" w:hAnsi="Arial" w:cs="Arial"/>
                <w:b/>
                <w:bCs/>
                <w:i/>
                <w:iCs/>
              </w:rPr>
              <w:t>Value</w:t>
            </w:r>
          </w:p>
        </w:tc>
      </w:tr>
      <w:tr w:rsidR="00A2170B" w:rsidRPr="007D3BE7" w14:paraId="5B783DF8" w14:textId="77777777" w:rsidTr="00671661">
        <w:trPr>
          <w:jc w:val="center"/>
        </w:trPr>
        <w:tc>
          <w:tcPr>
            <w:tcW w:w="1321" w:type="dxa"/>
            <w:vMerge/>
            <w:tcBorders>
              <w:bottom w:val="single" w:sz="4" w:space="0" w:color="auto"/>
            </w:tcBorders>
            <w:shd w:val="clear" w:color="auto" w:fill="E7E6E6" w:themeFill="background2"/>
          </w:tcPr>
          <w:p w14:paraId="09C8C547" w14:textId="77777777" w:rsidR="00A2170B" w:rsidRPr="007D3BE7" w:rsidRDefault="00A2170B" w:rsidP="007D3BE7">
            <w:pPr>
              <w:spacing w:line="276" w:lineRule="auto"/>
              <w:rPr>
                <w:rFonts w:ascii="Arial" w:hAnsi="Arial" w:cs="Arial"/>
                <w:b/>
                <w:bCs/>
              </w:rPr>
            </w:pPr>
          </w:p>
        </w:tc>
        <w:tc>
          <w:tcPr>
            <w:tcW w:w="1321" w:type="dxa"/>
            <w:tcBorders>
              <w:top w:val="single" w:sz="4" w:space="0" w:color="auto"/>
              <w:bottom w:val="single" w:sz="4" w:space="0" w:color="auto"/>
            </w:tcBorders>
            <w:shd w:val="clear" w:color="auto" w:fill="F2F2F2" w:themeFill="background1" w:themeFillShade="F2"/>
          </w:tcPr>
          <w:p w14:paraId="7644E15F" w14:textId="77777777" w:rsidR="00A2170B" w:rsidRPr="007D3BE7" w:rsidRDefault="00A2170B" w:rsidP="007D3BE7">
            <w:pPr>
              <w:spacing w:line="276" w:lineRule="auto"/>
              <w:jc w:val="center"/>
              <w:rPr>
                <w:rFonts w:ascii="Arial" w:hAnsi="Arial" w:cs="Arial"/>
                <w:b/>
                <w:bCs/>
              </w:rPr>
            </w:pPr>
            <w:r w:rsidRPr="007D3BE7">
              <w:rPr>
                <w:rFonts w:ascii="Arial" w:hAnsi="Arial" w:cs="Arial"/>
                <w:b/>
                <w:bCs/>
              </w:rPr>
              <w:t>n</w:t>
            </w:r>
          </w:p>
        </w:tc>
        <w:tc>
          <w:tcPr>
            <w:tcW w:w="1321" w:type="dxa"/>
            <w:tcBorders>
              <w:top w:val="single" w:sz="4" w:space="0" w:color="auto"/>
              <w:bottom w:val="single" w:sz="4" w:space="0" w:color="auto"/>
            </w:tcBorders>
            <w:shd w:val="clear" w:color="auto" w:fill="F2F2F2" w:themeFill="background1" w:themeFillShade="F2"/>
          </w:tcPr>
          <w:p w14:paraId="4B86FCA3" w14:textId="77777777" w:rsidR="00A2170B" w:rsidRPr="007D3BE7" w:rsidRDefault="00A2170B" w:rsidP="007D3BE7">
            <w:pPr>
              <w:spacing w:line="276" w:lineRule="auto"/>
              <w:jc w:val="center"/>
              <w:rPr>
                <w:rFonts w:ascii="Arial" w:hAnsi="Arial" w:cs="Arial"/>
                <w:b/>
                <w:bCs/>
              </w:rPr>
            </w:pPr>
            <w:r w:rsidRPr="007D3BE7">
              <w:rPr>
                <w:rFonts w:ascii="Arial" w:hAnsi="Arial" w:cs="Arial"/>
                <w:b/>
                <w:bCs/>
              </w:rPr>
              <w:t>%</w:t>
            </w:r>
          </w:p>
        </w:tc>
        <w:tc>
          <w:tcPr>
            <w:tcW w:w="1321" w:type="dxa"/>
            <w:tcBorders>
              <w:top w:val="single" w:sz="4" w:space="0" w:color="auto"/>
              <w:bottom w:val="single" w:sz="4" w:space="0" w:color="auto"/>
            </w:tcBorders>
            <w:shd w:val="clear" w:color="auto" w:fill="F2F2F2" w:themeFill="background1" w:themeFillShade="F2"/>
          </w:tcPr>
          <w:p w14:paraId="1496CE43" w14:textId="77777777" w:rsidR="00A2170B" w:rsidRPr="007D3BE7" w:rsidRDefault="00A2170B" w:rsidP="007D3BE7">
            <w:pPr>
              <w:spacing w:line="276" w:lineRule="auto"/>
              <w:jc w:val="center"/>
              <w:rPr>
                <w:rFonts w:ascii="Arial" w:hAnsi="Arial" w:cs="Arial"/>
                <w:b/>
                <w:bCs/>
              </w:rPr>
            </w:pPr>
            <w:r w:rsidRPr="007D3BE7">
              <w:rPr>
                <w:rFonts w:ascii="Arial" w:hAnsi="Arial" w:cs="Arial"/>
                <w:b/>
                <w:bCs/>
              </w:rPr>
              <w:t>n</w:t>
            </w:r>
          </w:p>
        </w:tc>
        <w:tc>
          <w:tcPr>
            <w:tcW w:w="1321" w:type="dxa"/>
            <w:tcBorders>
              <w:top w:val="single" w:sz="4" w:space="0" w:color="auto"/>
              <w:bottom w:val="single" w:sz="4" w:space="0" w:color="auto"/>
            </w:tcBorders>
            <w:shd w:val="clear" w:color="auto" w:fill="F2F2F2" w:themeFill="background1" w:themeFillShade="F2"/>
          </w:tcPr>
          <w:p w14:paraId="78739A08" w14:textId="77777777" w:rsidR="00A2170B" w:rsidRPr="007D3BE7" w:rsidRDefault="00A2170B" w:rsidP="007D3BE7">
            <w:pPr>
              <w:spacing w:line="276" w:lineRule="auto"/>
              <w:jc w:val="center"/>
              <w:rPr>
                <w:rFonts w:ascii="Arial" w:hAnsi="Arial" w:cs="Arial"/>
                <w:b/>
                <w:bCs/>
              </w:rPr>
            </w:pPr>
            <w:r w:rsidRPr="007D3BE7">
              <w:rPr>
                <w:rFonts w:ascii="Arial" w:hAnsi="Arial" w:cs="Arial"/>
                <w:b/>
                <w:bCs/>
              </w:rPr>
              <w:t>%</w:t>
            </w:r>
          </w:p>
        </w:tc>
        <w:tc>
          <w:tcPr>
            <w:tcW w:w="1322" w:type="dxa"/>
            <w:vMerge/>
            <w:tcBorders>
              <w:bottom w:val="single" w:sz="4" w:space="0" w:color="auto"/>
            </w:tcBorders>
            <w:shd w:val="clear" w:color="auto" w:fill="E7E6E6" w:themeFill="background2"/>
          </w:tcPr>
          <w:p w14:paraId="05E91FDE" w14:textId="77777777" w:rsidR="00A2170B" w:rsidRPr="007D3BE7" w:rsidRDefault="00A2170B" w:rsidP="007D3BE7">
            <w:pPr>
              <w:spacing w:line="276" w:lineRule="auto"/>
              <w:jc w:val="both"/>
              <w:rPr>
                <w:rFonts w:ascii="Arial" w:hAnsi="Arial" w:cs="Arial"/>
              </w:rPr>
            </w:pPr>
          </w:p>
        </w:tc>
      </w:tr>
      <w:tr w:rsidR="00A2170B" w:rsidRPr="007D3BE7" w14:paraId="495F921C" w14:textId="77777777" w:rsidTr="00A2170B">
        <w:trPr>
          <w:jc w:val="center"/>
        </w:trPr>
        <w:tc>
          <w:tcPr>
            <w:tcW w:w="1321" w:type="dxa"/>
            <w:tcBorders>
              <w:top w:val="single" w:sz="4" w:space="0" w:color="auto"/>
              <w:bottom w:val="nil"/>
            </w:tcBorders>
          </w:tcPr>
          <w:p w14:paraId="2EEE4762" w14:textId="03BAE9DD" w:rsidR="00A2170B" w:rsidRPr="007D3BE7" w:rsidRDefault="00A2170B" w:rsidP="007D3BE7">
            <w:pPr>
              <w:spacing w:line="276" w:lineRule="auto"/>
              <w:rPr>
                <w:rFonts w:ascii="Arial" w:hAnsi="Arial" w:cs="Arial"/>
              </w:rPr>
            </w:pPr>
            <w:r w:rsidRPr="007D3BE7">
              <w:rPr>
                <w:rFonts w:ascii="Arial" w:hAnsi="Arial" w:cs="Arial"/>
              </w:rPr>
              <w:t>Low</w:t>
            </w:r>
          </w:p>
        </w:tc>
        <w:tc>
          <w:tcPr>
            <w:tcW w:w="1321" w:type="dxa"/>
            <w:tcBorders>
              <w:top w:val="single" w:sz="4" w:space="0" w:color="auto"/>
              <w:bottom w:val="nil"/>
            </w:tcBorders>
          </w:tcPr>
          <w:p w14:paraId="063550D9" w14:textId="77777777" w:rsidR="00A2170B" w:rsidRPr="007D3BE7" w:rsidRDefault="00A2170B" w:rsidP="007D3BE7">
            <w:pPr>
              <w:spacing w:line="276" w:lineRule="auto"/>
              <w:jc w:val="center"/>
              <w:rPr>
                <w:rFonts w:ascii="Arial" w:hAnsi="Arial" w:cs="Arial"/>
              </w:rPr>
            </w:pPr>
            <w:r w:rsidRPr="007D3BE7">
              <w:rPr>
                <w:rFonts w:ascii="Arial" w:hAnsi="Arial" w:cs="Arial"/>
              </w:rPr>
              <w:t>1</w:t>
            </w:r>
          </w:p>
        </w:tc>
        <w:tc>
          <w:tcPr>
            <w:tcW w:w="1321" w:type="dxa"/>
            <w:tcBorders>
              <w:top w:val="single" w:sz="4" w:space="0" w:color="auto"/>
              <w:bottom w:val="nil"/>
            </w:tcBorders>
          </w:tcPr>
          <w:p w14:paraId="466B4AEE" w14:textId="77777777" w:rsidR="00A2170B" w:rsidRPr="007D3BE7" w:rsidRDefault="00A2170B" w:rsidP="007D3BE7">
            <w:pPr>
              <w:spacing w:line="276" w:lineRule="auto"/>
              <w:jc w:val="center"/>
              <w:rPr>
                <w:rFonts w:ascii="Arial" w:hAnsi="Arial" w:cs="Arial"/>
              </w:rPr>
            </w:pPr>
            <w:r w:rsidRPr="007D3BE7">
              <w:rPr>
                <w:rFonts w:ascii="Arial" w:hAnsi="Arial" w:cs="Arial"/>
              </w:rPr>
              <w:t>2</w:t>
            </w:r>
          </w:p>
        </w:tc>
        <w:tc>
          <w:tcPr>
            <w:tcW w:w="1321" w:type="dxa"/>
            <w:tcBorders>
              <w:top w:val="single" w:sz="4" w:space="0" w:color="auto"/>
              <w:bottom w:val="nil"/>
            </w:tcBorders>
          </w:tcPr>
          <w:p w14:paraId="1D266BD9" w14:textId="77777777" w:rsidR="00A2170B" w:rsidRPr="007D3BE7" w:rsidRDefault="00A2170B" w:rsidP="007D3BE7">
            <w:pPr>
              <w:spacing w:line="276" w:lineRule="auto"/>
              <w:jc w:val="center"/>
              <w:rPr>
                <w:rFonts w:ascii="Arial" w:hAnsi="Arial" w:cs="Arial"/>
              </w:rPr>
            </w:pPr>
            <w:r w:rsidRPr="007D3BE7">
              <w:rPr>
                <w:rFonts w:ascii="Arial" w:hAnsi="Arial" w:cs="Arial"/>
              </w:rPr>
              <w:t>17</w:t>
            </w:r>
          </w:p>
        </w:tc>
        <w:tc>
          <w:tcPr>
            <w:tcW w:w="1321" w:type="dxa"/>
            <w:tcBorders>
              <w:top w:val="single" w:sz="4" w:space="0" w:color="auto"/>
              <w:bottom w:val="nil"/>
            </w:tcBorders>
          </w:tcPr>
          <w:p w14:paraId="66042013" w14:textId="77777777" w:rsidR="00A2170B" w:rsidRPr="007D3BE7" w:rsidRDefault="00A2170B" w:rsidP="007D3BE7">
            <w:pPr>
              <w:spacing w:line="276" w:lineRule="auto"/>
              <w:jc w:val="center"/>
              <w:rPr>
                <w:rFonts w:ascii="Arial" w:hAnsi="Arial" w:cs="Arial"/>
              </w:rPr>
            </w:pPr>
            <w:r w:rsidRPr="007D3BE7">
              <w:rPr>
                <w:rFonts w:ascii="Arial" w:hAnsi="Arial" w:cs="Arial"/>
              </w:rPr>
              <w:t>34</w:t>
            </w:r>
          </w:p>
        </w:tc>
        <w:tc>
          <w:tcPr>
            <w:tcW w:w="1322" w:type="dxa"/>
            <w:vMerge w:val="restart"/>
            <w:tcBorders>
              <w:top w:val="single" w:sz="4" w:space="0" w:color="auto"/>
              <w:bottom w:val="nil"/>
            </w:tcBorders>
          </w:tcPr>
          <w:p w14:paraId="3EB2F432" w14:textId="77777777" w:rsidR="007D3BE7" w:rsidRDefault="007D3BE7" w:rsidP="007D3BE7">
            <w:pPr>
              <w:spacing w:line="276" w:lineRule="auto"/>
              <w:jc w:val="center"/>
              <w:rPr>
                <w:rFonts w:ascii="Arial" w:hAnsi="Arial" w:cs="Arial"/>
              </w:rPr>
            </w:pPr>
          </w:p>
          <w:p w14:paraId="474F543D" w14:textId="7F5D4E79" w:rsidR="00A2170B" w:rsidRPr="007D3BE7" w:rsidRDefault="00A2170B" w:rsidP="007D3BE7">
            <w:pPr>
              <w:spacing w:line="276" w:lineRule="auto"/>
              <w:jc w:val="center"/>
              <w:rPr>
                <w:rFonts w:ascii="Arial" w:hAnsi="Arial" w:cs="Arial"/>
              </w:rPr>
            </w:pPr>
            <w:r w:rsidRPr="007D3BE7">
              <w:rPr>
                <w:rFonts w:ascii="Arial" w:hAnsi="Arial" w:cs="Arial"/>
              </w:rPr>
              <w:t>0</w:t>
            </w:r>
            <w:r w:rsidR="007D3BE7">
              <w:rPr>
                <w:rFonts w:ascii="Arial" w:hAnsi="Arial" w:cs="Arial"/>
                <w:lang w:val="en-US"/>
              </w:rPr>
              <w:t>.</w:t>
            </w:r>
            <w:r w:rsidRPr="007D3BE7">
              <w:rPr>
                <w:rFonts w:ascii="Arial" w:hAnsi="Arial" w:cs="Arial"/>
              </w:rPr>
              <w:t>001</w:t>
            </w:r>
          </w:p>
        </w:tc>
      </w:tr>
      <w:tr w:rsidR="00A2170B" w:rsidRPr="007D3BE7" w14:paraId="620E11DF" w14:textId="77777777" w:rsidTr="00A2170B">
        <w:trPr>
          <w:jc w:val="center"/>
        </w:trPr>
        <w:tc>
          <w:tcPr>
            <w:tcW w:w="1321" w:type="dxa"/>
            <w:tcBorders>
              <w:top w:val="nil"/>
            </w:tcBorders>
          </w:tcPr>
          <w:p w14:paraId="72750FDD" w14:textId="1F6D56EE" w:rsidR="00A2170B" w:rsidRPr="007D3BE7" w:rsidRDefault="00A2170B" w:rsidP="007D3BE7">
            <w:pPr>
              <w:spacing w:line="276" w:lineRule="auto"/>
              <w:rPr>
                <w:rFonts w:ascii="Arial" w:hAnsi="Arial" w:cs="Arial"/>
              </w:rPr>
            </w:pPr>
            <w:r w:rsidRPr="007D3BE7">
              <w:rPr>
                <w:rFonts w:ascii="Arial" w:hAnsi="Arial" w:cs="Arial"/>
              </w:rPr>
              <w:t>Adequate</w:t>
            </w:r>
          </w:p>
        </w:tc>
        <w:tc>
          <w:tcPr>
            <w:tcW w:w="1321" w:type="dxa"/>
            <w:tcBorders>
              <w:top w:val="nil"/>
            </w:tcBorders>
          </w:tcPr>
          <w:p w14:paraId="0FEE8D5F" w14:textId="77777777" w:rsidR="00A2170B" w:rsidRPr="007D3BE7" w:rsidRDefault="00A2170B" w:rsidP="007D3BE7">
            <w:pPr>
              <w:spacing w:line="276" w:lineRule="auto"/>
              <w:jc w:val="center"/>
              <w:rPr>
                <w:rFonts w:ascii="Arial" w:hAnsi="Arial" w:cs="Arial"/>
              </w:rPr>
            </w:pPr>
            <w:r w:rsidRPr="007D3BE7">
              <w:rPr>
                <w:rFonts w:ascii="Arial" w:hAnsi="Arial" w:cs="Arial"/>
              </w:rPr>
              <w:t>6</w:t>
            </w:r>
          </w:p>
        </w:tc>
        <w:tc>
          <w:tcPr>
            <w:tcW w:w="1321" w:type="dxa"/>
            <w:tcBorders>
              <w:top w:val="nil"/>
            </w:tcBorders>
          </w:tcPr>
          <w:p w14:paraId="4DB22132" w14:textId="77777777" w:rsidR="00A2170B" w:rsidRPr="007D3BE7" w:rsidRDefault="00A2170B" w:rsidP="007D3BE7">
            <w:pPr>
              <w:spacing w:line="276" w:lineRule="auto"/>
              <w:jc w:val="center"/>
              <w:rPr>
                <w:rFonts w:ascii="Arial" w:hAnsi="Arial" w:cs="Arial"/>
              </w:rPr>
            </w:pPr>
            <w:r w:rsidRPr="007D3BE7">
              <w:rPr>
                <w:rFonts w:ascii="Arial" w:hAnsi="Arial" w:cs="Arial"/>
              </w:rPr>
              <w:t>12</w:t>
            </w:r>
          </w:p>
        </w:tc>
        <w:tc>
          <w:tcPr>
            <w:tcW w:w="1321" w:type="dxa"/>
            <w:tcBorders>
              <w:top w:val="nil"/>
            </w:tcBorders>
          </w:tcPr>
          <w:p w14:paraId="45B05108" w14:textId="77777777" w:rsidR="00A2170B" w:rsidRPr="007D3BE7" w:rsidRDefault="00A2170B" w:rsidP="007D3BE7">
            <w:pPr>
              <w:spacing w:line="276" w:lineRule="auto"/>
              <w:jc w:val="center"/>
              <w:rPr>
                <w:rFonts w:ascii="Arial" w:hAnsi="Arial" w:cs="Arial"/>
              </w:rPr>
            </w:pPr>
            <w:r w:rsidRPr="007D3BE7">
              <w:rPr>
                <w:rFonts w:ascii="Arial" w:hAnsi="Arial" w:cs="Arial"/>
              </w:rPr>
              <w:t>31</w:t>
            </w:r>
          </w:p>
        </w:tc>
        <w:tc>
          <w:tcPr>
            <w:tcW w:w="1321" w:type="dxa"/>
            <w:tcBorders>
              <w:top w:val="nil"/>
            </w:tcBorders>
          </w:tcPr>
          <w:p w14:paraId="18217FE4" w14:textId="77777777" w:rsidR="00A2170B" w:rsidRPr="007D3BE7" w:rsidRDefault="00A2170B" w:rsidP="007D3BE7">
            <w:pPr>
              <w:spacing w:line="276" w:lineRule="auto"/>
              <w:jc w:val="center"/>
              <w:rPr>
                <w:rFonts w:ascii="Arial" w:hAnsi="Arial" w:cs="Arial"/>
              </w:rPr>
            </w:pPr>
            <w:r w:rsidRPr="007D3BE7">
              <w:rPr>
                <w:rFonts w:ascii="Arial" w:hAnsi="Arial" w:cs="Arial"/>
              </w:rPr>
              <w:t>62</w:t>
            </w:r>
          </w:p>
        </w:tc>
        <w:tc>
          <w:tcPr>
            <w:tcW w:w="1322" w:type="dxa"/>
            <w:vMerge/>
            <w:tcBorders>
              <w:top w:val="nil"/>
            </w:tcBorders>
          </w:tcPr>
          <w:p w14:paraId="58341B74" w14:textId="77777777" w:rsidR="00A2170B" w:rsidRPr="007D3BE7" w:rsidRDefault="00A2170B" w:rsidP="007D3BE7">
            <w:pPr>
              <w:spacing w:line="276" w:lineRule="auto"/>
              <w:jc w:val="both"/>
              <w:rPr>
                <w:rFonts w:ascii="Arial" w:hAnsi="Arial" w:cs="Arial"/>
              </w:rPr>
            </w:pPr>
          </w:p>
        </w:tc>
      </w:tr>
      <w:tr w:rsidR="00A2170B" w:rsidRPr="007D3BE7" w14:paraId="649CADEB" w14:textId="77777777" w:rsidTr="00A2170B">
        <w:trPr>
          <w:jc w:val="center"/>
        </w:trPr>
        <w:tc>
          <w:tcPr>
            <w:tcW w:w="1321" w:type="dxa"/>
          </w:tcPr>
          <w:p w14:paraId="50D084F5" w14:textId="08B63A20" w:rsidR="00A2170B" w:rsidRPr="007D3BE7" w:rsidRDefault="00A2170B" w:rsidP="007D3BE7">
            <w:pPr>
              <w:spacing w:line="276" w:lineRule="auto"/>
              <w:rPr>
                <w:rFonts w:ascii="Arial" w:hAnsi="Arial" w:cs="Arial"/>
              </w:rPr>
            </w:pPr>
            <w:r w:rsidRPr="007D3BE7">
              <w:rPr>
                <w:rFonts w:ascii="Arial" w:hAnsi="Arial" w:cs="Arial"/>
              </w:rPr>
              <w:t>Excessive</w:t>
            </w:r>
          </w:p>
        </w:tc>
        <w:tc>
          <w:tcPr>
            <w:tcW w:w="1321" w:type="dxa"/>
          </w:tcPr>
          <w:p w14:paraId="6A8988E3" w14:textId="77777777" w:rsidR="00A2170B" w:rsidRPr="007D3BE7" w:rsidRDefault="00A2170B" w:rsidP="007D3BE7">
            <w:pPr>
              <w:spacing w:line="276" w:lineRule="auto"/>
              <w:jc w:val="center"/>
              <w:rPr>
                <w:rFonts w:ascii="Arial" w:hAnsi="Arial" w:cs="Arial"/>
              </w:rPr>
            </w:pPr>
            <w:r w:rsidRPr="007D3BE7">
              <w:rPr>
                <w:rFonts w:ascii="Arial" w:hAnsi="Arial" w:cs="Arial"/>
              </w:rPr>
              <w:t>43</w:t>
            </w:r>
          </w:p>
        </w:tc>
        <w:tc>
          <w:tcPr>
            <w:tcW w:w="1321" w:type="dxa"/>
          </w:tcPr>
          <w:p w14:paraId="39555D28" w14:textId="77777777" w:rsidR="00A2170B" w:rsidRPr="007D3BE7" w:rsidRDefault="00A2170B" w:rsidP="007D3BE7">
            <w:pPr>
              <w:spacing w:line="276" w:lineRule="auto"/>
              <w:jc w:val="center"/>
              <w:rPr>
                <w:rFonts w:ascii="Arial" w:hAnsi="Arial" w:cs="Arial"/>
              </w:rPr>
            </w:pPr>
            <w:r w:rsidRPr="007D3BE7">
              <w:rPr>
                <w:rFonts w:ascii="Arial" w:hAnsi="Arial" w:cs="Arial"/>
              </w:rPr>
              <w:t>86</w:t>
            </w:r>
          </w:p>
        </w:tc>
        <w:tc>
          <w:tcPr>
            <w:tcW w:w="1321" w:type="dxa"/>
          </w:tcPr>
          <w:p w14:paraId="1AE3A891" w14:textId="77777777" w:rsidR="00A2170B" w:rsidRPr="007D3BE7" w:rsidRDefault="00A2170B" w:rsidP="007D3BE7">
            <w:pPr>
              <w:spacing w:line="276" w:lineRule="auto"/>
              <w:jc w:val="center"/>
              <w:rPr>
                <w:rFonts w:ascii="Arial" w:hAnsi="Arial" w:cs="Arial"/>
              </w:rPr>
            </w:pPr>
            <w:r w:rsidRPr="007D3BE7">
              <w:rPr>
                <w:rFonts w:ascii="Arial" w:hAnsi="Arial" w:cs="Arial"/>
              </w:rPr>
              <w:t>2</w:t>
            </w:r>
          </w:p>
        </w:tc>
        <w:tc>
          <w:tcPr>
            <w:tcW w:w="1321" w:type="dxa"/>
          </w:tcPr>
          <w:p w14:paraId="2AC67EC5" w14:textId="77777777" w:rsidR="00A2170B" w:rsidRPr="007D3BE7" w:rsidRDefault="00A2170B" w:rsidP="007D3BE7">
            <w:pPr>
              <w:spacing w:line="276" w:lineRule="auto"/>
              <w:jc w:val="center"/>
              <w:rPr>
                <w:rFonts w:ascii="Arial" w:hAnsi="Arial" w:cs="Arial"/>
              </w:rPr>
            </w:pPr>
            <w:r w:rsidRPr="007D3BE7">
              <w:rPr>
                <w:rFonts w:ascii="Arial" w:hAnsi="Arial" w:cs="Arial"/>
              </w:rPr>
              <w:t>4</w:t>
            </w:r>
          </w:p>
        </w:tc>
        <w:tc>
          <w:tcPr>
            <w:tcW w:w="1322" w:type="dxa"/>
            <w:vMerge/>
          </w:tcPr>
          <w:p w14:paraId="1BFA18F8" w14:textId="77777777" w:rsidR="00A2170B" w:rsidRPr="007D3BE7" w:rsidRDefault="00A2170B" w:rsidP="007D3BE7">
            <w:pPr>
              <w:spacing w:line="276" w:lineRule="auto"/>
              <w:jc w:val="both"/>
              <w:rPr>
                <w:rFonts w:ascii="Arial" w:hAnsi="Arial" w:cs="Arial"/>
              </w:rPr>
            </w:pPr>
          </w:p>
        </w:tc>
      </w:tr>
    </w:tbl>
    <w:p w14:paraId="643DA921" w14:textId="77777777" w:rsidR="007D3BE7" w:rsidRDefault="007D3BE7" w:rsidP="00671661">
      <w:pPr>
        <w:spacing w:after="0" w:line="360" w:lineRule="auto"/>
        <w:jc w:val="center"/>
        <w:rPr>
          <w:rFonts w:ascii="Arial" w:hAnsi="Arial" w:cs="Arial"/>
          <w:bCs/>
        </w:rPr>
        <w:sectPr w:rsidR="007D3BE7" w:rsidSect="00E87859">
          <w:type w:val="continuous"/>
          <w:pgSz w:w="11906" w:h="16838"/>
          <w:pgMar w:top="1440" w:right="1440" w:bottom="1440" w:left="1440" w:header="708" w:footer="708" w:gutter="0"/>
          <w:cols w:space="708"/>
          <w:docGrid w:linePitch="360"/>
        </w:sectPr>
      </w:pPr>
    </w:p>
    <w:p w14:paraId="07164EA4" w14:textId="77777777" w:rsidR="007D3BE7" w:rsidRDefault="00A2170B" w:rsidP="007D3BE7">
      <w:pPr>
        <w:spacing w:after="0" w:line="360" w:lineRule="auto"/>
        <w:ind w:firstLine="720"/>
        <w:jc w:val="both"/>
        <w:rPr>
          <w:rFonts w:ascii="Arial" w:hAnsi="Arial" w:cs="Arial"/>
          <w:bCs/>
        </w:rPr>
        <w:sectPr w:rsidR="007D3BE7" w:rsidSect="007D3BE7">
          <w:type w:val="continuous"/>
          <w:pgSz w:w="11906" w:h="16838"/>
          <w:pgMar w:top="1440" w:right="1440" w:bottom="1440" w:left="1440" w:header="708" w:footer="708" w:gutter="0"/>
          <w:cols w:num="2" w:space="708"/>
          <w:docGrid w:linePitch="360"/>
        </w:sectPr>
      </w:pPr>
      <w:r w:rsidRPr="00A2170B">
        <w:rPr>
          <w:rFonts w:ascii="Arial" w:hAnsi="Arial" w:cs="Arial"/>
          <w:bCs/>
        </w:rPr>
        <w:t xml:space="preserve">Based on the </w:t>
      </w:r>
      <w:r w:rsidR="00E24085">
        <w:rPr>
          <w:rFonts w:ascii="Arial" w:hAnsi="Arial" w:cs="Arial"/>
          <w:bCs/>
        </w:rPr>
        <w:t>chi-square</w:t>
      </w:r>
      <w:r w:rsidRPr="00A2170B">
        <w:rPr>
          <w:rFonts w:ascii="Arial" w:hAnsi="Arial" w:cs="Arial"/>
          <w:bCs/>
        </w:rPr>
        <w:t xml:space="preserve"> test results above, the majority of case subjects had more fat intake (86%), while the majority of control subjects had sufficient fat intake </w:t>
      </w:r>
      <w:r w:rsidRPr="00A2170B">
        <w:rPr>
          <w:rFonts w:ascii="Arial" w:hAnsi="Arial" w:cs="Arial"/>
          <w:bCs/>
        </w:rPr>
        <w:t>(62%). The statistical test results showed a significant relationship between fat intake and the incidence of hypertension (p = 0.001).</w:t>
      </w:r>
    </w:p>
    <w:p w14:paraId="2536697E" w14:textId="77777777" w:rsidR="007D3BE7" w:rsidRDefault="007D3BE7" w:rsidP="007D3BE7">
      <w:pPr>
        <w:spacing w:after="0" w:line="360" w:lineRule="auto"/>
        <w:ind w:firstLine="720"/>
        <w:jc w:val="both"/>
        <w:rPr>
          <w:rFonts w:ascii="Arial" w:hAnsi="Arial" w:cs="Arial"/>
          <w:bCs/>
        </w:rPr>
      </w:pPr>
    </w:p>
    <w:p w14:paraId="05E9B088" w14:textId="0E330D33" w:rsidR="00A2170B" w:rsidRPr="007D3BE7" w:rsidRDefault="00A2170B" w:rsidP="007D3BE7">
      <w:pPr>
        <w:spacing w:after="0" w:line="276" w:lineRule="auto"/>
        <w:ind w:left="567"/>
        <w:rPr>
          <w:rFonts w:ascii="Arial" w:hAnsi="Arial" w:cs="Arial"/>
          <w:bCs/>
          <w:sz w:val="20"/>
          <w:szCs w:val="20"/>
        </w:rPr>
      </w:pPr>
      <w:r w:rsidRPr="007D3BE7">
        <w:rPr>
          <w:rFonts w:ascii="Arial" w:hAnsi="Arial" w:cs="Arial"/>
          <w:b/>
          <w:sz w:val="20"/>
          <w:szCs w:val="20"/>
        </w:rPr>
        <w:t>Table 3.</w:t>
      </w:r>
      <w:r w:rsidRPr="007D3BE7">
        <w:rPr>
          <w:rFonts w:ascii="Arial" w:hAnsi="Arial" w:cs="Arial"/>
          <w:bCs/>
          <w:sz w:val="20"/>
          <w:szCs w:val="20"/>
        </w:rPr>
        <w:t xml:space="preserve"> Relationship between Obesity and Hypertension</w:t>
      </w:r>
    </w:p>
    <w:tbl>
      <w:tblPr>
        <w:tblStyle w:val="TableGrid"/>
        <w:tblW w:w="0" w:type="auto"/>
        <w:jc w:val="center"/>
        <w:tblLook w:val="04A0" w:firstRow="1" w:lastRow="0" w:firstColumn="1" w:lastColumn="0" w:noHBand="0" w:noVBand="1"/>
      </w:tblPr>
      <w:tblGrid>
        <w:gridCol w:w="1276"/>
        <w:gridCol w:w="992"/>
        <w:gridCol w:w="993"/>
        <w:gridCol w:w="1119"/>
        <w:gridCol w:w="1007"/>
        <w:gridCol w:w="1276"/>
        <w:gridCol w:w="1140"/>
      </w:tblGrid>
      <w:tr w:rsidR="00671661" w:rsidRPr="007D3BE7" w14:paraId="224CA43C" w14:textId="77777777" w:rsidTr="00671661">
        <w:trPr>
          <w:jc w:val="center"/>
        </w:trPr>
        <w:tc>
          <w:tcPr>
            <w:tcW w:w="1276" w:type="dxa"/>
            <w:vMerge w:val="restart"/>
            <w:tcBorders>
              <w:left w:val="nil"/>
              <w:right w:val="nil"/>
            </w:tcBorders>
            <w:shd w:val="clear" w:color="auto" w:fill="F2F2F2" w:themeFill="background1" w:themeFillShade="F2"/>
            <w:vAlign w:val="center"/>
          </w:tcPr>
          <w:p w14:paraId="6E15E5EB" w14:textId="06931B7C" w:rsidR="00671661" w:rsidRPr="00671661" w:rsidRDefault="00671661" w:rsidP="00671661">
            <w:pPr>
              <w:spacing w:line="276" w:lineRule="auto"/>
              <w:rPr>
                <w:rFonts w:ascii="Arial" w:hAnsi="Arial" w:cs="Arial"/>
                <w:b/>
                <w:bCs/>
              </w:rPr>
            </w:pPr>
            <w:r w:rsidRPr="00671661">
              <w:rPr>
                <w:rFonts w:ascii="Arial" w:hAnsi="Arial" w:cs="Arial"/>
                <w:b/>
                <w:bCs/>
              </w:rPr>
              <w:t>Obesity</w:t>
            </w:r>
          </w:p>
        </w:tc>
        <w:tc>
          <w:tcPr>
            <w:tcW w:w="1985" w:type="dxa"/>
            <w:gridSpan w:val="2"/>
            <w:tcBorders>
              <w:left w:val="nil"/>
              <w:right w:val="nil"/>
            </w:tcBorders>
            <w:shd w:val="clear" w:color="auto" w:fill="F2F2F2" w:themeFill="background1" w:themeFillShade="F2"/>
          </w:tcPr>
          <w:p w14:paraId="59225C36" w14:textId="230D86F8" w:rsidR="00671661" w:rsidRPr="00671661" w:rsidRDefault="00671661" w:rsidP="007D3BE7">
            <w:pPr>
              <w:spacing w:line="276" w:lineRule="auto"/>
              <w:jc w:val="center"/>
              <w:rPr>
                <w:rFonts w:ascii="Arial" w:hAnsi="Arial" w:cs="Arial"/>
                <w:b/>
                <w:bCs/>
              </w:rPr>
            </w:pPr>
            <w:r w:rsidRPr="00671661">
              <w:rPr>
                <w:rFonts w:ascii="Arial" w:hAnsi="Arial" w:cs="Arial"/>
                <w:b/>
                <w:bCs/>
              </w:rPr>
              <w:t>Cases</w:t>
            </w:r>
          </w:p>
        </w:tc>
        <w:tc>
          <w:tcPr>
            <w:tcW w:w="2126" w:type="dxa"/>
            <w:gridSpan w:val="2"/>
            <w:tcBorders>
              <w:left w:val="nil"/>
              <w:right w:val="nil"/>
            </w:tcBorders>
            <w:shd w:val="clear" w:color="auto" w:fill="F2F2F2" w:themeFill="background1" w:themeFillShade="F2"/>
          </w:tcPr>
          <w:p w14:paraId="16385691" w14:textId="1988F1B5" w:rsidR="00671661" w:rsidRPr="00671661" w:rsidRDefault="00671661" w:rsidP="007D3BE7">
            <w:pPr>
              <w:spacing w:line="276" w:lineRule="auto"/>
              <w:jc w:val="center"/>
              <w:rPr>
                <w:rFonts w:ascii="Arial" w:hAnsi="Arial" w:cs="Arial"/>
                <w:b/>
                <w:bCs/>
              </w:rPr>
            </w:pPr>
            <w:r w:rsidRPr="00671661">
              <w:rPr>
                <w:rFonts w:ascii="Arial" w:hAnsi="Arial" w:cs="Arial"/>
                <w:b/>
                <w:bCs/>
              </w:rPr>
              <w:t>Controls</w:t>
            </w:r>
          </w:p>
        </w:tc>
        <w:tc>
          <w:tcPr>
            <w:tcW w:w="1276" w:type="dxa"/>
            <w:vMerge w:val="restart"/>
            <w:tcBorders>
              <w:left w:val="nil"/>
              <w:right w:val="nil"/>
            </w:tcBorders>
            <w:shd w:val="clear" w:color="auto" w:fill="F2F2F2" w:themeFill="background1" w:themeFillShade="F2"/>
            <w:vAlign w:val="center"/>
          </w:tcPr>
          <w:p w14:paraId="0A5DAF14" w14:textId="77777777" w:rsidR="00671661" w:rsidRPr="00671661" w:rsidRDefault="00671661" w:rsidP="00671661">
            <w:pPr>
              <w:spacing w:line="276" w:lineRule="auto"/>
              <w:jc w:val="center"/>
              <w:rPr>
                <w:rFonts w:ascii="Arial" w:hAnsi="Arial" w:cs="Arial"/>
                <w:b/>
                <w:bCs/>
              </w:rPr>
            </w:pPr>
            <w:r w:rsidRPr="00671661">
              <w:rPr>
                <w:rFonts w:ascii="Arial" w:hAnsi="Arial" w:cs="Arial"/>
                <w:b/>
                <w:bCs/>
              </w:rPr>
              <w:t>OR 95% CI</w:t>
            </w:r>
          </w:p>
        </w:tc>
        <w:tc>
          <w:tcPr>
            <w:tcW w:w="1140" w:type="dxa"/>
            <w:vMerge w:val="restart"/>
            <w:tcBorders>
              <w:left w:val="nil"/>
              <w:right w:val="nil"/>
            </w:tcBorders>
            <w:shd w:val="clear" w:color="auto" w:fill="F2F2F2" w:themeFill="background1" w:themeFillShade="F2"/>
            <w:vAlign w:val="center"/>
          </w:tcPr>
          <w:p w14:paraId="471240CC" w14:textId="77777777" w:rsidR="00671661" w:rsidRPr="00671661" w:rsidRDefault="00671661" w:rsidP="00671661">
            <w:pPr>
              <w:spacing w:line="276" w:lineRule="auto"/>
              <w:jc w:val="center"/>
              <w:rPr>
                <w:rFonts w:ascii="Arial" w:hAnsi="Arial" w:cs="Arial"/>
                <w:b/>
                <w:bCs/>
              </w:rPr>
            </w:pPr>
            <w:r w:rsidRPr="00671661">
              <w:rPr>
                <w:rFonts w:ascii="Arial" w:hAnsi="Arial" w:cs="Arial"/>
                <w:b/>
                <w:bCs/>
              </w:rPr>
              <w:t xml:space="preserve">P </w:t>
            </w:r>
            <w:r w:rsidRPr="00671661">
              <w:rPr>
                <w:rFonts w:ascii="Arial" w:hAnsi="Arial" w:cs="Arial"/>
                <w:b/>
                <w:bCs/>
                <w:i/>
                <w:iCs/>
              </w:rPr>
              <w:t>Value</w:t>
            </w:r>
          </w:p>
        </w:tc>
      </w:tr>
      <w:tr w:rsidR="00671661" w:rsidRPr="007D3BE7" w14:paraId="293F00E3" w14:textId="77777777" w:rsidTr="00671661">
        <w:trPr>
          <w:jc w:val="center"/>
        </w:trPr>
        <w:tc>
          <w:tcPr>
            <w:tcW w:w="1276" w:type="dxa"/>
            <w:vMerge/>
            <w:tcBorders>
              <w:left w:val="nil"/>
              <w:right w:val="nil"/>
            </w:tcBorders>
            <w:shd w:val="clear" w:color="auto" w:fill="F2F2F2" w:themeFill="background1" w:themeFillShade="F2"/>
          </w:tcPr>
          <w:p w14:paraId="71454844" w14:textId="77777777" w:rsidR="00671661" w:rsidRPr="00671661" w:rsidRDefault="00671661" w:rsidP="00671661">
            <w:pPr>
              <w:spacing w:line="276" w:lineRule="auto"/>
              <w:rPr>
                <w:rFonts w:ascii="Arial" w:hAnsi="Arial" w:cs="Arial"/>
                <w:b/>
                <w:bCs/>
              </w:rPr>
            </w:pPr>
          </w:p>
        </w:tc>
        <w:tc>
          <w:tcPr>
            <w:tcW w:w="992" w:type="dxa"/>
            <w:tcBorders>
              <w:left w:val="nil"/>
              <w:right w:val="nil"/>
            </w:tcBorders>
            <w:shd w:val="clear" w:color="auto" w:fill="F2F2F2" w:themeFill="background1" w:themeFillShade="F2"/>
          </w:tcPr>
          <w:p w14:paraId="09F25AEF" w14:textId="77777777" w:rsidR="00671661" w:rsidRPr="00671661" w:rsidRDefault="00671661" w:rsidP="007D3BE7">
            <w:pPr>
              <w:spacing w:line="276" w:lineRule="auto"/>
              <w:jc w:val="center"/>
              <w:rPr>
                <w:rFonts w:ascii="Arial" w:hAnsi="Arial" w:cs="Arial"/>
                <w:b/>
                <w:bCs/>
              </w:rPr>
            </w:pPr>
            <w:r w:rsidRPr="00671661">
              <w:rPr>
                <w:rFonts w:ascii="Arial" w:hAnsi="Arial" w:cs="Arial"/>
                <w:b/>
                <w:bCs/>
              </w:rPr>
              <w:t>n</w:t>
            </w:r>
          </w:p>
        </w:tc>
        <w:tc>
          <w:tcPr>
            <w:tcW w:w="993" w:type="dxa"/>
            <w:tcBorders>
              <w:left w:val="nil"/>
              <w:right w:val="nil"/>
            </w:tcBorders>
            <w:shd w:val="clear" w:color="auto" w:fill="F2F2F2" w:themeFill="background1" w:themeFillShade="F2"/>
          </w:tcPr>
          <w:p w14:paraId="31972A9D" w14:textId="77777777" w:rsidR="00671661" w:rsidRPr="00671661" w:rsidRDefault="00671661" w:rsidP="007D3BE7">
            <w:pPr>
              <w:spacing w:line="276" w:lineRule="auto"/>
              <w:jc w:val="center"/>
              <w:rPr>
                <w:rFonts w:ascii="Arial" w:hAnsi="Arial" w:cs="Arial"/>
                <w:b/>
                <w:bCs/>
              </w:rPr>
            </w:pPr>
            <w:r w:rsidRPr="00671661">
              <w:rPr>
                <w:rFonts w:ascii="Arial" w:hAnsi="Arial" w:cs="Arial"/>
                <w:b/>
                <w:bCs/>
              </w:rPr>
              <w:t>%</w:t>
            </w:r>
          </w:p>
        </w:tc>
        <w:tc>
          <w:tcPr>
            <w:tcW w:w="1119" w:type="dxa"/>
            <w:tcBorders>
              <w:left w:val="nil"/>
              <w:right w:val="nil"/>
            </w:tcBorders>
            <w:shd w:val="clear" w:color="auto" w:fill="F2F2F2" w:themeFill="background1" w:themeFillShade="F2"/>
          </w:tcPr>
          <w:p w14:paraId="0F4A8DD3" w14:textId="77777777" w:rsidR="00671661" w:rsidRPr="00671661" w:rsidRDefault="00671661" w:rsidP="007D3BE7">
            <w:pPr>
              <w:spacing w:line="276" w:lineRule="auto"/>
              <w:jc w:val="center"/>
              <w:rPr>
                <w:rFonts w:ascii="Arial" w:hAnsi="Arial" w:cs="Arial"/>
                <w:b/>
                <w:bCs/>
              </w:rPr>
            </w:pPr>
            <w:r w:rsidRPr="00671661">
              <w:rPr>
                <w:rFonts w:ascii="Arial" w:hAnsi="Arial" w:cs="Arial"/>
                <w:b/>
                <w:bCs/>
              </w:rPr>
              <w:t>n</w:t>
            </w:r>
          </w:p>
        </w:tc>
        <w:tc>
          <w:tcPr>
            <w:tcW w:w="1007" w:type="dxa"/>
            <w:tcBorders>
              <w:left w:val="nil"/>
              <w:right w:val="nil"/>
            </w:tcBorders>
            <w:shd w:val="clear" w:color="auto" w:fill="F2F2F2" w:themeFill="background1" w:themeFillShade="F2"/>
          </w:tcPr>
          <w:p w14:paraId="3A2F8163" w14:textId="77777777" w:rsidR="00671661" w:rsidRPr="00671661" w:rsidRDefault="00671661" w:rsidP="007D3BE7">
            <w:pPr>
              <w:spacing w:line="276" w:lineRule="auto"/>
              <w:jc w:val="center"/>
              <w:rPr>
                <w:rFonts w:ascii="Arial" w:hAnsi="Arial" w:cs="Arial"/>
                <w:b/>
                <w:bCs/>
              </w:rPr>
            </w:pPr>
            <w:r w:rsidRPr="00671661">
              <w:rPr>
                <w:rFonts w:ascii="Arial" w:hAnsi="Arial" w:cs="Arial"/>
                <w:b/>
                <w:bCs/>
              </w:rPr>
              <w:t>%</w:t>
            </w:r>
          </w:p>
        </w:tc>
        <w:tc>
          <w:tcPr>
            <w:tcW w:w="1276" w:type="dxa"/>
            <w:vMerge/>
            <w:tcBorders>
              <w:left w:val="nil"/>
              <w:right w:val="nil"/>
            </w:tcBorders>
            <w:shd w:val="clear" w:color="auto" w:fill="F2F2F2" w:themeFill="background1" w:themeFillShade="F2"/>
          </w:tcPr>
          <w:p w14:paraId="4B839379" w14:textId="77777777" w:rsidR="00671661" w:rsidRPr="00671661" w:rsidRDefault="00671661" w:rsidP="007D3BE7">
            <w:pPr>
              <w:spacing w:line="276" w:lineRule="auto"/>
              <w:jc w:val="center"/>
              <w:rPr>
                <w:rFonts w:ascii="Arial" w:hAnsi="Arial" w:cs="Arial"/>
                <w:b/>
                <w:bCs/>
              </w:rPr>
            </w:pPr>
          </w:p>
        </w:tc>
        <w:tc>
          <w:tcPr>
            <w:tcW w:w="1140" w:type="dxa"/>
            <w:vMerge/>
            <w:tcBorders>
              <w:left w:val="nil"/>
              <w:right w:val="nil"/>
            </w:tcBorders>
            <w:shd w:val="clear" w:color="auto" w:fill="F2F2F2" w:themeFill="background1" w:themeFillShade="F2"/>
          </w:tcPr>
          <w:p w14:paraId="11BD6100" w14:textId="77777777" w:rsidR="00671661" w:rsidRPr="00671661" w:rsidRDefault="00671661" w:rsidP="007D3BE7">
            <w:pPr>
              <w:spacing w:line="276" w:lineRule="auto"/>
              <w:jc w:val="center"/>
              <w:rPr>
                <w:rFonts w:ascii="Arial" w:hAnsi="Arial" w:cs="Arial"/>
                <w:b/>
                <w:bCs/>
              </w:rPr>
            </w:pPr>
          </w:p>
        </w:tc>
      </w:tr>
      <w:tr w:rsidR="00A2170B" w:rsidRPr="007D3BE7" w14:paraId="316986E0" w14:textId="77777777" w:rsidTr="00671661">
        <w:trPr>
          <w:jc w:val="center"/>
        </w:trPr>
        <w:tc>
          <w:tcPr>
            <w:tcW w:w="1276" w:type="dxa"/>
            <w:tcBorders>
              <w:left w:val="nil"/>
              <w:right w:val="nil"/>
            </w:tcBorders>
          </w:tcPr>
          <w:p w14:paraId="7111CDAB" w14:textId="6180A3ED" w:rsidR="00A2170B" w:rsidRPr="007D3BE7" w:rsidRDefault="00A2170B" w:rsidP="00671661">
            <w:pPr>
              <w:spacing w:line="276" w:lineRule="auto"/>
              <w:rPr>
                <w:rFonts w:ascii="Arial" w:hAnsi="Arial" w:cs="Arial"/>
              </w:rPr>
            </w:pPr>
            <w:r w:rsidRPr="007D3BE7">
              <w:rPr>
                <w:rFonts w:ascii="Arial" w:hAnsi="Arial" w:cs="Arial"/>
              </w:rPr>
              <w:t>Non-obese</w:t>
            </w:r>
          </w:p>
        </w:tc>
        <w:tc>
          <w:tcPr>
            <w:tcW w:w="992" w:type="dxa"/>
            <w:tcBorders>
              <w:left w:val="nil"/>
              <w:right w:val="nil"/>
            </w:tcBorders>
          </w:tcPr>
          <w:p w14:paraId="530C04B8" w14:textId="77777777" w:rsidR="00A2170B" w:rsidRPr="007D3BE7" w:rsidRDefault="00A2170B" w:rsidP="007D3BE7">
            <w:pPr>
              <w:spacing w:line="276" w:lineRule="auto"/>
              <w:jc w:val="center"/>
              <w:rPr>
                <w:rFonts w:ascii="Arial" w:hAnsi="Arial" w:cs="Arial"/>
              </w:rPr>
            </w:pPr>
            <w:r w:rsidRPr="007D3BE7">
              <w:rPr>
                <w:rFonts w:ascii="Arial" w:hAnsi="Arial" w:cs="Arial"/>
              </w:rPr>
              <w:t>11</w:t>
            </w:r>
          </w:p>
        </w:tc>
        <w:tc>
          <w:tcPr>
            <w:tcW w:w="993" w:type="dxa"/>
            <w:tcBorders>
              <w:left w:val="nil"/>
              <w:right w:val="nil"/>
            </w:tcBorders>
          </w:tcPr>
          <w:p w14:paraId="0F1DDA64" w14:textId="77777777" w:rsidR="00A2170B" w:rsidRPr="007D3BE7" w:rsidRDefault="00A2170B" w:rsidP="007D3BE7">
            <w:pPr>
              <w:spacing w:line="276" w:lineRule="auto"/>
              <w:jc w:val="center"/>
              <w:rPr>
                <w:rFonts w:ascii="Arial" w:hAnsi="Arial" w:cs="Arial"/>
              </w:rPr>
            </w:pPr>
            <w:r w:rsidRPr="007D3BE7">
              <w:rPr>
                <w:rFonts w:ascii="Arial" w:hAnsi="Arial" w:cs="Arial"/>
              </w:rPr>
              <w:t>22</w:t>
            </w:r>
          </w:p>
        </w:tc>
        <w:tc>
          <w:tcPr>
            <w:tcW w:w="1119" w:type="dxa"/>
            <w:tcBorders>
              <w:left w:val="nil"/>
              <w:right w:val="nil"/>
            </w:tcBorders>
          </w:tcPr>
          <w:p w14:paraId="074FF61D" w14:textId="77777777" w:rsidR="00A2170B" w:rsidRPr="007D3BE7" w:rsidRDefault="00A2170B" w:rsidP="007D3BE7">
            <w:pPr>
              <w:spacing w:line="276" w:lineRule="auto"/>
              <w:jc w:val="center"/>
              <w:rPr>
                <w:rFonts w:ascii="Arial" w:hAnsi="Arial" w:cs="Arial"/>
              </w:rPr>
            </w:pPr>
            <w:r w:rsidRPr="007D3BE7">
              <w:rPr>
                <w:rFonts w:ascii="Arial" w:hAnsi="Arial" w:cs="Arial"/>
              </w:rPr>
              <w:t>45</w:t>
            </w:r>
          </w:p>
        </w:tc>
        <w:tc>
          <w:tcPr>
            <w:tcW w:w="1007" w:type="dxa"/>
            <w:tcBorders>
              <w:left w:val="nil"/>
              <w:right w:val="nil"/>
            </w:tcBorders>
          </w:tcPr>
          <w:p w14:paraId="21A16A76" w14:textId="77777777" w:rsidR="00A2170B" w:rsidRPr="007D3BE7" w:rsidRDefault="00A2170B" w:rsidP="007D3BE7">
            <w:pPr>
              <w:spacing w:line="276" w:lineRule="auto"/>
              <w:jc w:val="center"/>
              <w:rPr>
                <w:rFonts w:ascii="Arial" w:hAnsi="Arial" w:cs="Arial"/>
              </w:rPr>
            </w:pPr>
            <w:r w:rsidRPr="007D3BE7">
              <w:rPr>
                <w:rFonts w:ascii="Arial" w:hAnsi="Arial" w:cs="Arial"/>
              </w:rPr>
              <w:t>90</w:t>
            </w:r>
          </w:p>
        </w:tc>
        <w:tc>
          <w:tcPr>
            <w:tcW w:w="1276" w:type="dxa"/>
            <w:vMerge w:val="restart"/>
            <w:tcBorders>
              <w:left w:val="nil"/>
              <w:right w:val="nil"/>
            </w:tcBorders>
          </w:tcPr>
          <w:p w14:paraId="487E05FC" w14:textId="744BF592" w:rsidR="00A2170B" w:rsidRPr="007D3BE7" w:rsidRDefault="00A2170B" w:rsidP="007D3BE7">
            <w:pPr>
              <w:spacing w:line="276" w:lineRule="auto"/>
              <w:jc w:val="center"/>
              <w:rPr>
                <w:rFonts w:ascii="Arial" w:hAnsi="Arial" w:cs="Arial"/>
              </w:rPr>
            </w:pPr>
            <w:r w:rsidRPr="007D3BE7">
              <w:rPr>
                <w:rFonts w:ascii="Arial" w:hAnsi="Arial" w:cs="Arial"/>
              </w:rPr>
              <w:t>0</w:t>
            </w:r>
            <w:r w:rsidR="00671661">
              <w:rPr>
                <w:rFonts w:ascii="Arial" w:hAnsi="Arial" w:cs="Arial"/>
                <w:lang w:val="en-US"/>
              </w:rPr>
              <w:t>.</w:t>
            </w:r>
            <w:r w:rsidRPr="007D3BE7">
              <w:rPr>
                <w:rFonts w:ascii="Arial" w:hAnsi="Arial" w:cs="Arial"/>
              </w:rPr>
              <w:t>031 (0</w:t>
            </w:r>
            <w:r w:rsidR="00671661">
              <w:rPr>
                <w:rFonts w:ascii="Arial" w:hAnsi="Arial" w:cs="Arial"/>
                <w:lang w:val="en-US"/>
              </w:rPr>
              <w:t>.</w:t>
            </w:r>
            <w:r w:rsidRPr="007D3BE7">
              <w:rPr>
                <w:rFonts w:ascii="Arial" w:hAnsi="Arial" w:cs="Arial"/>
              </w:rPr>
              <w:t>010-0</w:t>
            </w:r>
            <w:r w:rsidR="00671661">
              <w:rPr>
                <w:rFonts w:ascii="Arial" w:hAnsi="Arial" w:cs="Arial"/>
                <w:lang w:val="en-US"/>
              </w:rPr>
              <w:t>.</w:t>
            </w:r>
            <w:r w:rsidRPr="007D3BE7">
              <w:rPr>
                <w:rFonts w:ascii="Arial" w:hAnsi="Arial" w:cs="Arial"/>
              </w:rPr>
              <w:t>098)</w:t>
            </w:r>
          </w:p>
        </w:tc>
        <w:tc>
          <w:tcPr>
            <w:tcW w:w="1140" w:type="dxa"/>
            <w:vMerge w:val="restart"/>
            <w:tcBorders>
              <w:left w:val="nil"/>
              <w:right w:val="nil"/>
            </w:tcBorders>
          </w:tcPr>
          <w:p w14:paraId="04849DD4" w14:textId="77777777" w:rsidR="00671661" w:rsidRDefault="00671661" w:rsidP="007D3BE7">
            <w:pPr>
              <w:spacing w:line="276" w:lineRule="auto"/>
              <w:jc w:val="center"/>
              <w:rPr>
                <w:rFonts w:ascii="Arial" w:hAnsi="Arial" w:cs="Arial"/>
              </w:rPr>
            </w:pPr>
          </w:p>
          <w:p w14:paraId="25B87B93" w14:textId="1C5BB03C" w:rsidR="00A2170B" w:rsidRPr="007D3BE7" w:rsidRDefault="00A2170B" w:rsidP="007D3BE7">
            <w:pPr>
              <w:spacing w:line="276" w:lineRule="auto"/>
              <w:jc w:val="center"/>
              <w:rPr>
                <w:rFonts w:ascii="Arial" w:hAnsi="Arial" w:cs="Arial"/>
              </w:rPr>
            </w:pPr>
            <w:r w:rsidRPr="007D3BE7">
              <w:rPr>
                <w:rFonts w:ascii="Arial" w:hAnsi="Arial" w:cs="Arial"/>
              </w:rPr>
              <w:t>0</w:t>
            </w:r>
            <w:r w:rsidR="00671661">
              <w:rPr>
                <w:rFonts w:ascii="Arial" w:hAnsi="Arial" w:cs="Arial"/>
                <w:lang w:val="en-US"/>
              </w:rPr>
              <w:t>.</w:t>
            </w:r>
            <w:r w:rsidRPr="007D3BE7">
              <w:rPr>
                <w:rFonts w:ascii="Arial" w:hAnsi="Arial" w:cs="Arial"/>
              </w:rPr>
              <w:t>001</w:t>
            </w:r>
          </w:p>
        </w:tc>
      </w:tr>
      <w:tr w:rsidR="00A2170B" w:rsidRPr="007D3BE7" w14:paraId="5BED3718" w14:textId="77777777" w:rsidTr="00671661">
        <w:trPr>
          <w:jc w:val="center"/>
        </w:trPr>
        <w:tc>
          <w:tcPr>
            <w:tcW w:w="1276" w:type="dxa"/>
            <w:tcBorders>
              <w:left w:val="nil"/>
              <w:right w:val="nil"/>
            </w:tcBorders>
          </w:tcPr>
          <w:p w14:paraId="38681C5D" w14:textId="2CA113C1" w:rsidR="00A2170B" w:rsidRPr="007D3BE7" w:rsidRDefault="00A2170B" w:rsidP="00671661">
            <w:pPr>
              <w:spacing w:line="276" w:lineRule="auto"/>
              <w:rPr>
                <w:rFonts w:ascii="Arial" w:hAnsi="Arial" w:cs="Arial"/>
              </w:rPr>
            </w:pPr>
            <w:r w:rsidRPr="007D3BE7">
              <w:rPr>
                <w:rFonts w:ascii="Arial" w:hAnsi="Arial" w:cs="Arial"/>
              </w:rPr>
              <w:t>Obese</w:t>
            </w:r>
          </w:p>
        </w:tc>
        <w:tc>
          <w:tcPr>
            <w:tcW w:w="992" w:type="dxa"/>
            <w:tcBorders>
              <w:left w:val="nil"/>
              <w:right w:val="nil"/>
            </w:tcBorders>
          </w:tcPr>
          <w:p w14:paraId="0D14DF39" w14:textId="77777777" w:rsidR="00A2170B" w:rsidRPr="007D3BE7" w:rsidRDefault="00A2170B" w:rsidP="007D3BE7">
            <w:pPr>
              <w:spacing w:line="276" w:lineRule="auto"/>
              <w:jc w:val="center"/>
              <w:rPr>
                <w:rFonts w:ascii="Arial" w:hAnsi="Arial" w:cs="Arial"/>
              </w:rPr>
            </w:pPr>
            <w:r w:rsidRPr="007D3BE7">
              <w:rPr>
                <w:rFonts w:ascii="Arial" w:hAnsi="Arial" w:cs="Arial"/>
              </w:rPr>
              <w:t>39</w:t>
            </w:r>
          </w:p>
        </w:tc>
        <w:tc>
          <w:tcPr>
            <w:tcW w:w="993" w:type="dxa"/>
            <w:tcBorders>
              <w:left w:val="nil"/>
              <w:right w:val="nil"/>
            </w:tcBorders>
          </w:tcPr>
          <w:p w14:paraId="74C45376" w14:textId="77777777" w:rsidR="00A2170B" w:rsidRPr="007D3BE7" w:rsidRDefault="00A2170B" w:rsidP="007D3BE7">
            <w:pPr>
              <w:spacing w:line="276" w:lineRule="auto"/>
              <w:jc w:val="center"/>
              <w:rPr>
                <w:rFonts w:ascii="Arial" w:hAnsi="Arial" w:cs="Arial"/>
              </w:rPr>
            </w:pPr>
            <w:r w:rsidRPr="007D3BE7">
              <w:rPr>
                <w:rFonts w:ascii="Arial" w:hAnsi="Arial" w:cs="Arial"/>
              </w:rPr>
              <w:t>78</w:t>
            </w:r>
          </w:p>
        </w:tc>
        <w:tc>
          <w:tcPr>
            <w:tcW w:w="1119" w:type="dxa"/>
            <w:tcBorders>
              <w:left w:val="nil"/>
              <w:right w:val="nil"/>
            </w:tcBorders>
          </w:tcPr>
          <w:p w14:paraId="2AC2DA31" w14:textId="77777777" w:rsidR="00A2170B" w:rsidRPr="007D3BE7" w:rsidRDefault="00A2170B" w:rsidP="007D3BE7">
            <w:pPr>
              <w:spacing w:line="276" w:lineRule="auto"/>
              <w:jc w:val="center"/>
              <w:rPr>
                <w:rFonts w:ascii="Arial" w:hAnsi="Arial" w:cs="Arial"/>
              </w:rPr>
            </w:pPr>
            <w:r w:rsidRPr="007D3BE7">
              <w:rPr>
                <w:rFonts w:ascii="Arial" w:hAnsi="Arial" w:cs="Arial"/>
              </w:rPr>
              <w:t>5</w:t>
            </w:r>
          </w:p>
        </w:tc>
        <w:tc>
          <w:tcPr>
            <w:tcW w:w="1007" w:type="dxa"/>
            <w:tcBorders>
              <w:left w:val="nil"/>
              <w:right w:val="nil"/>
            </w:tcBorders>
          </w:tcPr>
          <w:p w14:paraId="10395B40" w14:textId="77777777" w:rsidR="00A2170B" w:rsidRPr="007D3BE7" w:rsidRDefault="00A2170B" w:rsidP="007D3BE7">
            <w:pPr>
              <w:spacing w:line="276" w:lineRule="auto"/>
              <w:jc w:val="center"/>
              <w:rPr>
                <w:rFonts w:ascii="Arial" w:hAnsi="Arial" w:cs="Arial"/>
              </w:rPr>
            </w:pPr>
            <w:r w:rsidRPr="007D3BE7">
              <w:rPr>
                <w:rFonts w:ascii="Arial" w:hAnsi="Arial" w:cs="Arial"/>
              </w:rPr>
              <w:t>10</w:t>
            </w:r>
          </w:p>
        </w:tc>
        <w:tc>
          <w:tcPr>
            <w:tcW w:w="1276" w:type="dxa"/>
            <w:vMerge/>
            <w:tcBorders>
              <w:left w:val="nil"/>
              <w:right w:val="nil"/>
            </w:tcBorders>
          </w:tcPr>
          <w:p w14:paraId="036E6ABD" w14:textId="77777777" w:rsidR="00A2170B" w:rsidRPr="007D3BE7" w:rsidRDefault="00A2170B" w:rsidP="007D3BE7">
            <w:pPr>
              <w:spacing w:line="276" w:lineRule="auto"/>
              <w:jc w:val="center"/>
              <w:rPr>
                <w:rFonts w:ascii="Arial" w:hAnsi="Arial" w:cs="Arial"/>
              </w:rPr>
            </w:pPr>
          </w:p>
        </w:tc>
        <w:tc>
          <w:tcPr>
            <w:tcW w:w="1140" w:type="dxa"/>
            <w:vMerge/>
            <w:tcBorders>
              <w:left w:val="nil"/>
              <w:right w:val="nil"/>
            </w:tcBorders>
          </w:tcPr>
          <w:p w14:paraId="3E0188E3" w14:textId="77777777" w:rsidR="00A2170B" w:rsidRPr="007D3BE7" w:rsidRDefault="00A2170B" w:rsidP="007D3BE7">
            <w:pPr>
              <w:spacing w:line="276" w:lineRule="auto"/>
              <w:jc w:val="center"/>
              <w:rPr>
                <w:rFonts w:ascii="Arial" w:hAnsi="Arial" w:cs="Arial"/>
              </w:rPr>
            </w:pPr>
          </w:p>
        </w:tc>
      </w:tr>
      <w:tr w:rsidR="00A2170B" w:rsidRPr="007D3BE7" w14:paraId="03099286" w14:textId="77777777" w:rsidTr="00671661">
        <w:trPr>
          <w:jc w:val="center"/>
        </w:trPr>
        <w:tc>
          <w:tcPr>
            <w:tcW w:w="1276" w:type="dxa"/>
            <w:tcBorders>
              <w:left w:val="nil"/>
              <w:right w:val="nil"/>
            </w:tcBorders>
          </w:tcPr>
          <w:p w14:paraId="36676A43" w14:textId="77777777" w:rsidR="00A2170B" w:rsidRPr="007D3BE7" w:rsidRDefault="00A2170B" w:rsidP="00671661">
            <w:pPr>
              <w:spacing w:line="276" w:lineRule="auto"/>
              <w:rPr>
                <w:rFonts w:ascii="Arial" w:hAnsi="Arial" w:cs="Arial"/>
              </w:rPr>
            </w:pPr>
            <w:r w:rsidRPr="007D3BE7">
              <w:rPr>
                <w:rFonts w:ascii="Arial" w:hAnsi="Arial" w:cs="Arial"/>
              </w:rPr>
              <w:t>Total</w:t>
            </w:r>
          </w:p>
        </w:tc>
        <w:tc>
          <w:tcPr>
            <w:tcW w:w="992" w:type="dxa"/>
            <w:tcBorders>
              <w:left w:val="nil"/>
              <w:right w:val="nil"/>
            </w:tcBorders>
          </w:tcPr>
          <w:p w14:paraId="38645E50" w14:textId="77777777" w:rsidR="00A2170B" w:rsidRPr="007D3BE7" w:rsidRDefault="00A2170B" w:rsidP="007D3BE7">
            <w:pPr>
              <w:spacing w:line="276" w:lineRule="auto"/>
              <w:jc w:val="center"/>
              <w:rPr>
                <w:rFonts w:ascii="Arial" w:hAnsi="Arial" w:cs="Arial"/>
              </w:rPr>
            </w:pPr>
            <w:r w:rsidRPr="007D3BE7">
              <w:rPr>
                <w:rFonts w:ascii="Arial" w:hAnsi="Arial" w:cs="Arial"/>
              </w:rPr>
              <w:t>50</w:t>
            </w:r>
          </w:p>
        </w:tc>
        <w:tc>
          <w:tcPr>
            <w:tcW w:w="993" w:type="dxa"/>
            <w:tcBorders>
              <w:left w:val="nil"/>
              <w:right w:val="nil"/>
            </w:tcBorders>
          </w:tcPr>
          <w:p w14:paraId="7D82F1F5" w14:textId="77777777" w:rsidR="00A2170B" w:rsidRPr="007D3BE7" w:rsidRDefault="00A2170B" w:rsidP="007D3BE7">
            <w:pPr>
              <w:spacing w:line="276" w:lineRule="auto"/>
              <w:jc w:val="center"/>
              <w:rPr>
                <w:rFonts w:ascii="Arial" w:hAnsi="Arial" w:cs="Arial"/>
              </w:rPr>
            </w:pPr>
            <w:r w:rsidRPr="007D3BE7">
              <w:rPr>
                <w:rFonts w:ascii="Arial" w:hAnsi="Arial" w:cs="Arial"/>
              </w:rPr>
              <w:t>100</w:t>
            </w:r>
          </w:p>
        </w:tc>
        <w:tc>
          <w:tcPr>
            <w:tcW w:w="1119" w:type="dxa"/>
            <w:tcBorders>
              <w:left w:val="nil"/>
              <w:right w:val="nil"/>
            </w:tcBorders>
          </w:tcPr>
          <w:p w14:paraId="23894E79" w14:textId="77777777" w:rsidR="00A2170B" w:rsidRPr="007D3BE7" w:rsidRDefault="00A2170B" w:rsidP="007D3BE7">
            <w:pPr>
              <w:spacing w:line="276" w:lineRule="auto"/>
              <w:jc w:val="center"/>
              <w:rPr>
                <w:rFonts w:ascii="Arial" w:hAnsi="Arial" w:cs="Arial"/>
              </w:rPr>
            </w:pPr>
            <w:r w:rsidRPr="007D3BE7">
              <w:rPr>
                <w:rFonts w:ascii="Arial" w:hAnsi="Arial" w:cs="Arial"/>
              </w:rPr>
              <w:t>50</w:t>
            </w:r>
          </w:p>
        </w:tc>
        <w:tc>
          <w:tcPr>
            <w:tcW w:w="1007" w:type="dxa"/>
            <w:tcBorders>
              <w:left w:val="nil"/>
              <w:right w:val="nil"/>
            </w:tcBorders>
          </w:tcPr>
          <w:p w14:paraId="65944535" w14:textId="77777777" w:rsidR="00A2170B" w:rsidRPr="007D3BE7" w:rsidRDefault="00A2170B" w:rsidP="007D3BE7">
            <w:pPr>
              <w:spacing w:line="276" w:lineRule="auto"/>
              <w:jc w:val="center"/>
              <w:rPr>
                <w:rFonts w:ascii="Arial" w:hAnsi="Arial" w:cs="Arial"/>
              </w:rPr>
            </w:pPr>
            <w:r w:rsidRPr="007D3BE7">
              <w:rPr>
                <w:rFonts w:ascii="Arial" w:hAnsi="Arial" w:cs="Arial"/>
              </w:rPr>
              <w:t>100</w:t>
            </w:r>
          </w:p>
        </w:tc>
        <w:tc>
          <w:tcPr>
            <w:tcW w:w="1276" w:type="dxa"/>
            <w:vMerge/>
            <w:tcBorders>
              <w:left w:val="nil"/>
              <w:right w:val="nil"/>
            </w:tcBorders>
          </w:tcPr>
          <w:p w14:paraId="042FE683" w14:textId="77777777" w:rsidR="00A2170B" w:rsidRPr="007D3BE7" w:rsidRDefault="00A2170B" w:rsidP="007D3BE7">
            <w:pPr>
              <w:spacing w:line="276" w:lineRule="auto"/>
              <w:jc w:val="center"/>
              <w:rPr>
                <w:rFonts w:ascii="Arial" w:hAnsi="Arial" w:cs="Arial"/>
              </w:rPr>
            </w:pPr>
          </w:p>
        </w:tc>
        <w:tc>
          <w:tcPr>
            <w:tcW w:w="1140" w:type="dxa"/>
            <w:vMerge/>
            <w:tcBorders>
              <w:left w:val="nil"/>
              <w:right w:val="nil"/>
            </w:tcBorders>
          </w:tcPr>
          <w:p w14:paraId="3CAAE46A" w14:textId="77777777" w:rsidR="00A2170B" w:rsidRPr="007D3BE7" w:rsidRDefault="00A2170B" w:rsidP="007D3BE7">
            <w:pPr>
              <w:spacing w:line="276" w:lineRule="auto"/>
              <w:jc w:val="center"/>
              <w:rPr>
                <w:rFonts w:ascii="Arial" w:hAnsi="Arial" w:cs="Arial"/>
              </w:rPr>
            </w:pPr>
          </w:p>
        </w:tc>
      </w:tr>
    </w:tbl>
    <w:p w14:paraId="50FF84A2" w14:textId="77777777" w:rsidR="007D3BE7" w:rsidRPr="007D3BE7" w:rsidRDefault="007D3BE7" w:rsidP="00671661">
      <w:pPr>
        <w:spacing w:after="0" w:line="360" w:lineRule="auto"/>
        <w:ind w:firstLine="720"/>
        <w:jc w:val="center"/>
        <w:rPr>
          <w:rFonts w:ascii="Arial" w:hAnsi="Arial" w:cs="Arial"/>
          <w:bCs/>
          <w:sz w:val="20"/>
          <w:szCs w:val="20"/>
        </w:rPr>
        <w:sectPr w:rsidR="007D3BE7" w:rsidRPr="007D3BE7" w:rsidSect="00E87859">
          <w:type w:val="continuous"/>
          <w:pgSz w:w="11906" w:h="16838"/>
          <w:pgMar w:top="1440" w:right="1440" w:bottom="1440" w:left="1440" w:header="708" w:footer="708" w:gutter="0"/>
          <w:cols w:space="708"/>
          <w:docGrid w:linePitch="360"/>
        </w:sectPr>
      </w:pPr>
    </w:p>
    <w:p w14:paraId="663DDA9C" w14:textId="77777777" w:rsidR="00671661" w:rsidRDefault="00A2170B" w:rsidP="00A2170B">
      <w:pPr>
        <w:spacing w:line="360" w:lineRule="auto"/>
        <w:ind w:firstLine="720"/>
        <w:jc w:val="both"/>
        <w:rPr>
          <w:rFonts w:ascii="Arial" w:hAnsi="Arial" w:cs="Arial"/>
          <w:bCs/>
        </w:rPr>
        <w:sectPr w:rsidR="00671661" w:rsidSect="00671661">
          <w:type w:val="continuous"/>
          <w:pgSz w:w="11906" w:h="16838"/>
          <w:pgMar w:top="1440" w:right="1440" w:bottom="1440" w:left="1440" w:header="708" w:footer="708" w:gutter="0"/>
          <w:cols w:num="2" w:space="708"/>
          <w:docGrid w:linePitch="360"/>
        </w:sectPr>
      </w:pPr>
      <w:r w:rsidRPr="00A2170B">
        <w:rPr>
          <w:rFonts w:ascii="Arial" w:hAnsi="Arial" w:cs="Arial"/>
          <w:bCs/>
        </w:rPr>
        <w:t xml:space="preserve">Based on the results of the </w:t>
      </w:r>
      <w:r w:rsidR="00E24085">
        <w:rPr>
          <w:rFonts w:ascii="Arial" w:hAnsi="Arial" w:cs="Arial"/>
          <w:bCs/>
        </w:rPr>
        <w:t>Chi-Square test, the p-value was obtained &lt;0.001,</w:t>
      </w:r>
      <w:r w:rsidRPr="00A2170B">
        <w:rPr>
          <w:rFonts w:ascii="Arial" w:hAnsi="Arial" w:cs="Arial"/>
          <w:bCs/>
        </w:rPr>
        <w:t xml:space="preserve"> and the odds ratio value was 0.031.  From these results</w:t>
      </w:r>
      <w:r w:rsidR="00E24085">
        <w:rPr>
          <w:rFonts w:ascii="Arial" w:hAnsi="Arial" w:cs="Arial"/>
          <w:bCs/>
        </w:rPr>
        <w:t>,</w:t>
      </w:r>
      <w:r w:rsidRPr="00A2170B">
        <w:rPr>
          <w:rFonts w:ascii="Arial" w:hAnsi="Arial" w:cs="Arial"/>
          <w:bCs/>
        </w:rPr>
        <w:t xml:space="preserve"> it can be seen that there is a significant relationship between obesity and the incidence of </w:t>
      </w:r>
      <w:r w:rsidRPr="00A2170B">
        <w:rPr>
          <w:rFonts w:ascii="Arial" w:hAnsi="Arial" w:cs="Arial"/>
          <w:bCs/>
        </w:rPr>
        <w:t>hypertension (p = 0.001). Respondents who are obese have a 32 times greater chance of experiencing hypertension than those who are not obese (OR = 0.031; 95% CI = 0.010-0.098).</w:t>
      </w:r>
    </w:p>
    <w:p w14:paraId="519AC1C6" w14:textId="77777777" w:rsidR="00671661" w:rsidRDefault="00671661" w:rsidP="00671661">
      <w:pPr>
        <w:spacing w:after="0" w:line="360" w:lineRule="auto"/>
        <w:ind w:firstLine="720"/>
        <w:jc w:val="center"/>
        <w:rPr>
          <w:rFonts w:ascii="Arial" w:hAnsi="Arial" w:cs="Arial"/>
          <w:bCs/>
        </w:rPr>
      </w:pPr>
    </w:p>
    <w:p w14:paraId="68FC4A8F" w14:textId="1DC01D73" w:rsidR="00A2170B" w:rsidRPr="00671661" w:rsidRDefault="00A2170B" w:rsidP="00671661">
      <w:pPr>
        <w:spacing w:after="0" w:line="360" w:lineRule="auto"/>
        <w:ind w:left="567"/>
        <w:rPr>
          <w:rFonts w:ascii="Arial" w:hAnsi="Arial" w:cs="Arial"/>
          <w:bCs/>
          <w:sz w:val="20"/>
          <w:szCs w:val="20"/>
        </w:rPr>
      </w:pPr>
      <w:r w:rsidRPr="00671661">
        <w:rPr>
          <w:rFonts w:ascii="Arial" w:hAnsi="Arial" w:cs="Arial"/>
          <w:b/>
          <w:sz w:val="20"/>
          <w:szCs w:val="20"/>
        </w:rPr>
        <w:t>Table 4.</w:t>
      </w:r>
      <w:r w:rsidRPr="00671661">
        <w:rPr>
          <w:rFonts w:ascii="Arial" w:hAnsi="Arial" w:cs="Arial"/>
          <w:bCs/>
          <w:sz w:val="20"/>
          <w:szCs w:val="20"/>
        </w:rPr>
        <w:t xml:space="preserve"> Results of Multivariate Analysis of Hypertension Incidence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701"/>
        <w:gridCol w:w="1843"/>
        <w:gridCol w:w="1836"/>
      </w:tblGrid>
      <w:tr w:rsidR="00A2170B" w:rsidRPr="00671661" w14:paraId="66B21969" w14:textId="77777777" w:rsidTr="00671661">
        <w:trPr>
          <w:jc w:val="center"/>
        </w:trPr>
        <w:tc>
          <w:tcPr>
            <w:tcW w:w="2547" w:type="dxa"/>
            <w:tcBorders>
              <w:top w:val="single" w:sz="4" w:space="0" w:color="auto"/>
              <w:bottom w:val="single" w:sz="4" w:space="0" w:color="auto"/>
            </w:tcBorders>
            <w:shd w:val="clear" w:color="auto" w:fill="F2F2F2" w:themeFill="background1" w:themeFillShade="F2"/>
          </w:tcPr>
          <w:p w14:paraId="7D663C07" w14:textId="55A51192" w:rsidR="00A2170B" w:rsidRPr="00671661" w:rsidRDefault="00A2170B" w:rsidP="00671661">
            <w:pPr>
              <w:spacing w:line="360" w:lineRule="auto"/>
              <w:rPr>
                <w:rFonts w:ascii="Arial" w:hAnsi="Arial" w:cs="Arial"/>
                <w:b/>
                <w:bCs/>
              </w:rPr>
            </w:pPr>
            <w:r w:rsidRPr="00671661">
              <w:rPr>
                <w:rFonts w:ascii="Arial" w:hAnsi="Arial" w:cs="Arial"/>
                <w:b/>
                <w:bCs/>
              </w:rPr>
              <w:t>Variable</w:t>
            </w:r>
          </w:p>
        </w:tc>
        <w:tc>
          <w:tcPr>
            <w:tcW w:w="1701" w:type="dxa"/>
            <w:tcBorders>
              <w:top w:val="single" w:sz="4" w:space="0" w:color="auto"/>
              <w:bottom w:val="single" w:sz="4" w:space="0" w:color="auto"/>
            </w:tcBorders>
            <w:shd w:val="clear" w:color="auto" w:fill="F2F2F2" w:themeFill="background1" w:themeFillShade="F2"/>
          </w:tcPr>
          <w:p w14:paraId="5619CABC" w14:textId="77777777" w:rsidR="00A2170B" w:rsidRPr="00671661" w:rsidRDefault="00A2170B" w:rsidP="00671661">
            <w:pPr>
              <w:spacing w:line="360" w:lineRule="auto"/>
              <w:jc w:val="center"/>
              <w:rPr>
                <w:rFonts w:ascii="Arial" w:hAnsi="Arial" w:cs="Arial"/>
                <w:b/>
                <w:bCs/>
              </w:rPr>
            </w:pPr>
            <w:r w:rsidRPr="00671661">
              <w:rPr>
                <w:rFonts w:ascii="Arial" w:hAnsi="Arial" w:cs="Arial"/>
                <w:b/>
                <w:bCs/>
              </w:rPr>
              <w:t xml:space="preserve">P </w:t>
            </w:r>
            <w:r w:rsidRPr="00671661">
              <w:rPr>
                <w:rFonts w:ascii="Arial" w:hAnsi="Arial" w:cs="Arial"/>
                <w:b/>
                <w:bCs/>
                <w:i/>
                <w:iCs/>
              </w:rPr>
              <w:t>Value</w:t>
            </w:r>
          </w:p>
        </w:tc>
        <w:tc>
          <w:tcPr>
            <w:tcW w:w="1843" w:type="dxa"/>
            <w:tcBorders>
              <w:top w:val="single" w:sz="4" w:space="0" w:color="auto"/>
              <w:bottom w:val="single" w:sz="4" w:space="0" w:color="auto"/>
            </w:tcBorders>
            <w:shd w:val="clear" w:color="auto" w:fill="F2F2F2" w:themeFill="background1" w:themeFillShade="F2"/>
          </w:tcPr>
          <w:p w14:paraId="3683613E" w14:textId="77777777" w:rsidR="00A2170B" w:rsidRPr="00671661" w:rsidRDefault="00A2170B" w:rsidP="00671661">
            <w:pPr>
              <w:spacing w:line="360" w:lineRule="auto"/>
              <w:jc w:val="center"/>
              <w:rPr>
                <w:rFonts w:ascii="Arial" w:hAnsi="Arial" w:cs="Arial"/>
                <w:b/>
                <w:bCs/>
              </w:rPr>
            </w:pPr>
            <w:r w:rsidRPr="00671661">
              <w:rPr>
                <w:rFonts w:ascii="Arial" w:hAnsi="Arial" w:cs="Arial"/>
                <w:b/>
                <w:bCs/>
              </w:rPr>
              <w:t>AOR (Exp(B))</w:t>
            </w:r>
          </w:p>
        </w:tc>
        <w:tc>
          <w:tcPr>
            <w:tcW w:w="1836" w:type="dxa"/>
            <w:tcBorders>
              <w:top w:val="single" w:sz="4" w:space="0" w:color="auto"/>
              <w:bottom w:val="single" w:sz="4" w:space="0" w:color="auto"/>
            </w:tcBorders>
            <w:shd w:val="clear" w:color="auto" w:fill="F2F2F2" w:themeFill="background1" w:themeFillShade="F2"/>
          </w:tcPr>
          <w:p w14:paraId="69366448" w14:textId="77777777" w:rsidR="00A2170B" w:rsidRPr="00671661" w:rsidRDefault="00A2170B" w:rsidP="00671661">
            <w:pPr>
              <w:spacing w:line="360" w:lineRule="auto"/>
              <w:jc w:val="center"/>
              <w:rPr>
                <w:rFonts w:ascii="Arial" w:hAnsi="Arial" w:cs="Arial"/>
                <w:b/>
                <w:bCs/>
              </w:rPr>
            </w:pPr>
            <w:r w:rsidRPr="00671661">
              <w:rPr>
                <w:rFonts w:ascii="Arial" w:hAnsi="Arial" w:cs="Arial"/>
                <w:b/>
                <w:bCs/>
              </w:rPr>
              <w:t>95% CI AOR</w:t>
            </w:r>
          </w:p>
        </w:tc>
      </w:tr>
      <w:tr w:rsidR="00A2170B" w:rsidRPr="00671661" w14:paraId="12BE202C" w14:textId="77777777" w:rsidTr="00A2170B">
        <w:trPr>
          <w:jc w:val="center"/>
        </w:trPr>
        <w:tc>
          <w:tcPr>
            <w:tcW w:w="2547" w:type="dxa"/>
            <w:tcBorders>
              <w:top w:val="single" w:sz="4" w:space="0" w:color="auto"/>
            </w:tcBorders>
          </w:tcPr>
          <w:p w14:paraId="5985C9A1" w14:textId="74B7AD0B" w:rsidR="00A2170B" w:rsidRPr="00671661" w:rsidRDefault="00A2170B" w:rsidP="00671661">
            <w:pPr>
              <w:spacing w:line="360" w:lineRule="auto"/>
              <w:rPr>
                <w:rFonts w:ascii="Arial" w:hAnsi="Arial" w:cs="Arial"/>
              </w:rPr>
            </w:pPr>
            <w:r w:rsidRPr="00671661">
              <w:rPr>
                <w:rFonts w:ascii="Arial" w:hAnsi="Arial" w:cs="Arial"/>
              </w:rPr>
              <w:t>Obese</w:t>
            </w:r>
          </w:p>
        </w:tc>
        <w:tc>
          <w:tcPr>
            <w:tcW w:w="1701" w:type="dxa"/>
            <w:tcBorders>
              <w:top w:val="single" w:sz="4" w:space="0" w:color="auto"/>
            </w:tcBorders>
          </w:tcPr>
          <w:p w14:paraId="7C950252" w14:textId="6CEF88F9" w:rsidR="00A2170B" w:rsidRPr="00671661" w:rsidRDefault="00A2170B" w:rsidP="00671661">
            <w:pPr>
              <w:spacing w:line="360" w:lineRule="auto"/>
              <w:jc w:val="center"/>
              <w:rPr>
                <w:rFonts w:ascii="Arial" w:hAnsi="Arial" w:cs="Arial"/>
              </w:rPr>
            </w:pPr>
            <w:r w:rsidRPr="00671661">
              <w:rPr>
                <w:rFonts w:ascii="Arial" w:hAnsi="Arial" w:cs="Arial"/>
              </w:rPr>
              <w:t>0</w:t>
            </w:r>
            <w:r w:rsidR="00671661">
              <w:rPr>
                <w:rFonts w:ascii="Arial" w:hAnsi="Arial" w:cs="Arial"/>
                <w:lang w:val="en-US"/>
              </w:rPr>
              <w:t>.</w:t>
            </w:r>
            <w:r w:rsidRPr="00671661">
              <w:rPr>
                <w:rFonts w:ascii="Arial" w:hAnsi="Arial" w:cs="Arial"/>
              </w:rPr>
              <w:t>070</w:t>
            </w:r>
          </w:p>
        </w:tc>
        <w:tc>
          <w:tcPr>
            <w:tcW w:w="1843" w:type="dxa"/>
            <w:tcBorders>
              <w:top w:val="single" w:sz="4" w:space="0" w:color="auto"/>
            </w:tcBorders>
          </w:tcPr>
          <w:p w14:paraId="7B870603" w14:textId="077F0C0A" w:rsidR="00A2170B" w:rsidRPr="00671661" w:rsidRDefault="00A2170B" w:rsidP="00671661">
            <w:pPr>
              <w:spacing w:line="360" w:lineRule="auto"/>
              <w:jc w:val="center"/>
              <w:rPr>
                <w:rFonts w:ascii="Arial" w:hAnsi="Arial" w:cs="Arial"/>
              </w:rPr>
            </w:pPr>
            <w:r w:rsidRPr="00671661">
              <w:rPr>
                <w:rFonts w:ascii="Arial" w:hAnsi="Arial" w:cs="Arial"/>
              </w:rPr>
              <w:t>4</w:t>
            </w:r>
            <w:r w:rsidR="00671661">
              <w:rPr>
                <w:rFonts w:ascii="Arial" w:hAnsi="Arial" w:cs="Arial"/>
                <w:lang w:val="en-US"/>
              </w:rPr>
              <w:t>.</w:t>
            </w:r>
            <w:r w:rsidRPr="00671661">
              <w:rPr>
                <w:rFonts w:ascii="Arial" w:hAnsi="Arial" w:cs="Arial"/>
              </w:rPr>
              <w:t>47</w:t>
            </w:r>
          </w:p>
        </w:tc>
        <w:tc>
          <w:tcPr>
            <w:tcW w:w="1836" w:type="dxa"/>
            <w:tcBorders>
              <w:top w:val="single" w:sz="4" w:space="0" w:color="auto"/>
            </w:tcBorders>
          </w:tcPr>
          <w:p w14:paraId="05FE959B" w14:textId="6335FB33" w:rsidR="00A2170B" w:rsidRPr="00671661" w:rsidRDefault="00A2170B" w:rsidP="00671661">
            <w:pPr>
              <w:spacing w:line="360" w:lineRule="auto"/>
              <w:jc w:val="center"/>
              <w:rPr>
                <w:rFonts w:ascii="Arial" w:hAnsi="Arial" w:cs="Arial"/>
              </w:rPr>
            </w:pPr>
            <w:r w:rsidRPr="00671661">
              <w:rPr>
                <w:rFonts w:ascii="Arial" w:hAnsi="Arial" w:cs="Arial"/>
              </w:rPr>
              <w:t>0</w:t>
            </w:r>
            <w:r w:rsidR="00671661">
              <w:rPr>
                <w:rFonts w:ascii="Arial" w:hAnsi="Arial" w:cs="Arial"/>
                <w:lang w:val="en-US"/>
              </w:rPr>
              <w:t>.</w:t>
            </w:r>
            <w:r w:rsidRPr="00671661">
              <w:rPr>
                <w:rFonts w:ascii="Arial" w:hAnsi="Arial" w:cs="Arial"/>
              </w:rPr>
              <w:t>89 – 22</w:t>
            </w:r>
            <w:r w:rsidR="00671661">
              <w:rPr>
                <w:rFonts w:ascii="Arial" w:hAnsi="Arial" w:cs="Arial"/>
                <w:lang w:val="en-US"/>
              </w:rPr>
              <w:t>.</w:t>
            </w:r>
            <w:r w:rsidRPr="00671661">
              <w:rPr>
                <w:rFonts w:ascii="Arial" w:hAnsi="Arial" w:cs="Arial"/>
              </w:rPr>
              <w:t>58</w:t>
            </w:r>
          </w:p>
        </w:tc>
      </w:tr>
      <w:tr w:rsidR="00A2170B" w:rsidRPr="00671661" w14:paraId="7C75E361" w14:textId="77777777" w:rsidTr="00A2170B">
        <w:trPr>
          <w:jc w:val="center"/>
        </w:trPr>
        <w:tc>
          <w:tcPr>
            <w:tcW w:w="2547" w:type="dxa"/>
          </w:tcPr>
          <w:p w14:paraId="22E4E8B1" w14:textId="50ED3626" w:rsidR="00A2170B" w:rsidRPr="00671661" w:rsidRDefault="00A2170B" w:rsidP="00671661">
            <w:pPr>
              <w:spacing w:line="360" w:lineRule="auto"/>
              <w:rPr>
                <w:rFonts w:ascii="Arial" w:hAnsi="Arial" w:cs="Arial"/>
              </w:rPr>
            </w:pPr>
            <w:r w:rsidRPr="00671661">
              <w:rPr>
                <w:rFonts w:ascii="Arial" w:hAnsi="Arial" w:cs="Arial"/>
              </w:rPr>
              <w:t>Low Fat Intake</w:t>
            </w:r>
          </w:p>
        </w:tc>
        <w:tc>
          <w:tcPr>
            <w:tcW w:w="1701" w:type="dxa"/>
          </w:tcPr>
          <w:p w14:paraId="42BF8453" w14:textId="48FE1D37" w:rsidR="00A2170B" w:rsidRPr="00671661" w:rsidRDefault="00A2170B" w:rsidP="00671661">
            <w:pPr>
              <w:spacing w:line="360" w:lineRule="auto"/>
              <w:jc w:val="center"/>
              <w:rPr>
                <w:rFonts w:ascii="Arial" w:hAnsi="Arial" w:cs="Arial"/>
              </w:rPr>
            </w:pPr>
            <w:r w:rsidRPr="00671661">
              <w:rPr>
                <w:rFonts w:ascii="Arial" w:hAnsi="Arial" w:cs="Arial"/>
              </w:rPr>
              <w:t>0</w:t>
            </w:r>
            <w:r w:rsidR="00671661">
              <w:rPr>
                <w:rFonts w:ascii="Arial" w:hAnsi="Arial" w:cs="Arial"/>
                <w:lang w:val="en-US"/>
              </w:rPr>
              <w:t>.</w:t>
            </w:r>
            <w:r w:rsidRPr="00671661">
              <w:rPr>
                <w:rFonts w:ascii="Arial" w:hAnsi="Arial" w:cs="Arial"/>
              </w:rPr>
              <w:t>335</w:t>
            </w:r>
          </w:p>
        </w:tc>
        <w:tc>
          <w:tcPr>
            <w:tcW w:w="1843" w:type="dxa"/>
          </w:tcPr>
          <w:p w14:paraId="48443C91" w14:textId="2ABEB57F" w:rsidR="00A2170B" w:rsidRPr="00671661" w:rsidRDefault="00A2170B" w:rsidP="00671661">
            <w:pPr>
              <w:spacing w:line="360" w:lineRule="auto"/>
              <w:jc w:val="center"/>
              <w:rPr>
                <w:rFonts w:ascii="Arial" w:hAnsi="Arial" w:cs="Arial"/>
              </w:rPr>
            </w:pPr>
            <w:r w:rsidRPr="00671661">
              <w:rPr>
                <w:rFonts w:ascii="Arial" w:hAnsi="Arial" w:cs="Arial"/>
              </w:rPr>
              <w:t>0</w:t>
            </w:r>
            <w:r w:rsidR="00671661">
              <w:rPr>
                <w:rFonts w:ascii="Arial" w:hAnsi="Arial" w:cs="Arial"/>
                <w:lang w:val="en-US"/>
              </w:rPr>
              <w:t>.</w:t>
            </w:r>
            <w:r w:rsidRPr="00671661">
              <w:rPr>
                <w:rFonts w:ascii="Arial" w:hAnsi="Arial" w:cs="Arial"/>
              </w:rPr>
              <w:t>35</w:t>
            </w:r>
          </w:p>
        </w:tc>
        <w:tc>
          <w:tcPr>
            <w:tcW w:w="1836" w:type="dxa"/>
          </w:tcPr>
          <w:p w14:paraId="7CD46D66" w14:textId="067AE111" w:rsidR="00A2170B" w:rsidRPr="00671661" w:rsidRDefault="00A2170B" w:rsidP="00671661">
            <w:pPr>
              <w:spacing w:line="360" w:lineRule="auto"/>
              <w:jc w:val="center"/>
              <w:rPr>
                <w:rFonts w:ascii="Arial" w:hAnsi="Arial" w:cs="Arial"/>
              </w:rPr>
            </w:pPr>
            <w:r w:rsidRPr="00671661">
              <w:rPr>
                <w:rFonts w:ascii="Arial" w:hAnsi="Arial" w:cs="Arial"/>
              </w:rPr>
              <w:t>0</w:t>
            </w:r>
            <w:r w:rsidR="00671661">
              <w:rPr>
                <w:rFonts w:ascii="Arial" w:hAnsi="Arial" w:cs="Arial"/>
                <w:lang w:val="en-US"/>
              </w:rPr>
              <w:t>.</w:t>
            </w:r>
            <w:r w:rsidRPr="00671661">
              <w:rPr>
                <w:rFonts w:ascii="Arial" w:hAnsi="Arial" w:cs="Arial"/>
              </w:rPr>
              <w:t>04 – 3</w:t>
            </w:r>
            <w:r w:rsidR="00671661">
              <w:rPr>
                <w:rFonts w:ascii="Arial" w:hAnsi="Arial" w:cs="Arial"/>
                <w:lang w:val="en-US"/>
              </w:rPr>
              <w:t>.</w:t>
            </w:r>
            <w:r w:rsidRPr="00671661">
              <w:rPr>
                <w:rFonts w:ascii="Arial" w:hAnsi="Arial" w:cs="Arial"/>
              </w:rPr>
              <w:t>25</w:t>
            </w:r>
          </w:p>
        </w:tc>
      </w:tr>
      <w:tr w:rsidR="00A2170B" w:rsidRPr="00671661" w14:paraId="020ECEB9" w14:textId="77777777" w:rsidTr="00A2170B">
        <w:trPr>
          <w:jc w:val="center"/>
        </w:trPr>
        <w:tc>
          <w:tcPr>
            <w:tcW w:w="2547" w:type="dxa"/>
          </w:tcPr>
          <w:p w14:paraId="51A0EDDC" w14:textId="4385F95F" w:rsidR="00A2170B" w:rsidRPr="00671661" w:rsidRDefault="00A2170B" w:rsidP="00671661">
            <w:pPr>
              <w:spacing w:line="360" w:lineRule="auto"/>
              <w:rPr>
                <w:rFonts w:ascii="Arial" w:hAnsi="Arial" w:cs="Arial"/>
              </w:rPr>
            </w:pPr>
            <w:r w:rsidRPr="00671661">
              <w:rPr>
                <w:rFonts w:ascii="Arial" w:hAnsi="Arial" w:cs="Arial"/>
              </w:rPr>
              <w:t>Excessive Fat Intake</w:t>
            </w:r>
          </w:p>
        </w:tc>
        <w:tc>
          <w:tcPr>
            <w:tcW w:w="1701" w:type="dxa"/>
          </w:tcPr>
          <w:p w14:paraId="25D1E0DF" w14:textId="20169682" w:rsidR="00A2170B" w:rsidRPr="00671661" w:rsidRDefault="00A2170B" w:rsidP="00671661">
            <w:pPr>
              <w:spacing w:line="360" w:lineRule="auto"/>
              <w:jc w:val="center"/>
              <w:rPr>
                <w:rFonts w:ascii="Arial" w:hAnsi="Arial" w:cs="Arial"/>
              </w:rPr>
            </w:pPr>
            <w:r w:rsidRPr="00671661">
              <w:rPr>
                <w:rFonts w:ascii="Arial" w:hAnsi="Arial" w:cs="Arial"/>
              </w:rPr>
              <w:t>&lt;0</w:t>
            </w:r>
            <w:r w:rsidR="00671661">
              <w:rPr>
                <w:rFonts w:ascii="Arial" w:hAnsi="Arial" w:cs="Arial"/>
                <w:lang w:val="en-US"/>
              </w:rPr>
              <w:t>.</w:t>
            </w:r>
            <w:r w:rsidRPr="00671661">
              <w:rPr>
                <w:rFonts w:ascii="Arial" w:hAnsi="Arial" w:cs="Arial"/>
              </w:rPr>
              <w:t>001</w:t>
            </w:r>
          </w:p>
        </w:tc>
        <w:tc>
          <w:tcPr>
            <w:tcW w:w="1843" w:type="dxa"/>
          </w:tcPr>
          <w:p w14:paraId="7FAC9D94" w14:textId="145CA718" w:rsidR="00A2170B" w:rsidRPr="00671661" w:rsidRDefault="00A2170B" w:rsidP="00671661">
            <w:pPr>
              <w:spacing w:line="360" w:lineRule="auto"/>
              <w:jc w:val="center"/>
              <w:rPr>
                <w:rFonts w:ascii="Arial" w:hAnsi="Arial" w:cs="Arial"/>
              </w:rPr>
            </w:pPr>
            <w:r w:rsidRPr="00671661">
              <w:rPr>
                <w:rFonts w:ascii="Arial" w:hAnsi="Arial" w:cs="Arial"/>
              </w:rPr>
              <w:t>49</w:t>
            </w:r>
            <w:r w:rsidR="00671661">
              <w:rPr>
                <w:rFonts w:ascii="Arial" w:hAnsi="Arial" w:cs="Arial"/>
                <w:lang w:val="en-US"/>
              </w:rPr>
              <w:t>.</w:t>
            </w:r>
            <w:r w:rsidRPr="00671661">
              <w:rPr>
                <w:rFonts w:ascii="Arial" w:hAnsi="Arial" w:cs="Arial"/>
              </w:rPr>
              <w:t>82</w:t>
            </w:r>
          </w:p>
        </w:tc>
        <w:tc>
          <w:tcPr>
            <w:tcW w:w="1836" w:type="dxa"/>
          </w:tcPr>
          <w:p w14:paraId="1C263D6A" w14:textId="60CC8266" w:rsidR="00A2170B" w:rsidRPr="00671661" w:rsidRDefault="00A2170B" w:rsidP="00671661">
            <w:pPr>
              <w:spacing w:line="360" w:lineRule="auto"/>
              <w:jc w:val="center"/>
              <w:rPr>
                <w:rFonts w:ascii="Arial" w:hAnsi="Arial" w:cs="Arial"/>
              </w:rPr>
            </w:pPr>
            <w:r w:rsidRPr="00671661">
              <w:rPr>
                <w:rFonts w:ascii="Arial" w:hAnsi="Arial" w:cs="Arial"/>
              </w:rPr>
              <w:t>8</w:t>
            </w:r>
            <w:r w:rsidR="00671661">
              <w:rPr>
                <w:rFonts w:ascii="Arial" w:hAnsi="Arial" w:cs="Arial"/>
                <w:lang w:val="en-US"/>
              </w:rPr>
              <w:t>.</w:t>
            </w:r>
            <w:r w:rsidRPr="00671661">
              <w:rPr>
                <w:rFonts w:ascii="Arial" w:hAnsi="Arial" w:cs="Arial"/>
              </w:rPr>
              <w:t>35 – 297</w:t>
            </w:r>
            <w:r w:rsidR="00671661">
              <w:rPr>
                <w:rFonts w:ascii="Arial" w:hAnsi="Arial" w:cs="Arial"/>
                <w:lang w:val="en-US"/>
              </w:rPr>
              <w:t>.</w:t>
            </w:r>
            <w:r w:rsidRPr="00671661">
              <w:rPr>
                <w:rFonts w:ascii="Arial" w:hAnsi="Arial" w:cs="Arial"/>
              </w:rPr>
              <w:t>11</w:t>
            </w:r>
          </w:p>
        </w:tc>
      </w:tr>
    </w:tbl>
    <w:p w14:paraId="1E2A55E8" w14:textId="77777777" w:rsidR="00671661" w:rsidRDefault="00671661" w:rsidP="00671661">
      <w:pPr>
        <w:spacing w:after="0" w:line="360" w:lineRule="auto"/>
        <w:ind w:firstLine="720"/>
        <w:jc w:val="center"/>
        <w:rPr>
          <w:rFonts w:ascii="Arial" w:hAnsi="Arial" w:cs="Arial"/>
          <w:bCs/>
          <w:sz w:val="20"/>
          <w:szCs w:val="20"/>
        </w:rPr>
        <w:sectPr w:rsidR="00671661" w:rsidSect="00E87859">
          <w:type w:val="continuous"/>
          <w:pgSz w:w="11906" w:h="16838"/>
          <w:pgMar w:top="1440" w:right="1440" w:bottom="1440" w:left="1440" w:header="708" w:footer="708" w:gutter="0"/>
          <w:cols w:space="708"/>
          <w:docGrid w:linePitch="360"/>
        </w:sectPr>
      </w:pPr>
    </w:p>
    <w:p w14:paraId="7D7B8486" w14:textId="535B2A27" w:rsidR="00A2170B" w:rsidRDefault="00A2170B" w:rsidP="00671661">
      <w:pPr>
        <w:spacing w:after="0" w:line="360" w:lineRule="auto"/>
        <w:ind w:firstLine="720"/>
        <w:jc w:val="both"/>
        <w:rPr>
          <w:rFonts w:ascii="Arial" w:hAnsi="Arial" w:cs="Arial"/>
          <w:bCs/>
          <w:lang w:val="en-US"/>
        </w:rPr>
      </w:pPr>
      <w:r w:rsidRPr="00A2170B">
        <w:rPr>
          <w:rFonts w:ascii="Arial" w:hAnsi="Arial" w:cs="Arial"/>
          <w:bCs/>
        </w:rPr>
        <w:t xml:space="preserve">Based on the results of </w:t>
      </w:r>
      <w:r w:rsidR="00E24085">
        <w:rPr>
          <w:rFonts w:ascii="Arial" w:hAnsi="Arial" w:cs="Arial"/>
          <w:bCs/>
        </w:rPr>
        <w:t xml:space="preserve">the multivariate logistic regression analysis above, the factor most significantly associated with the incidence of </w:t>
      </w:r>
      <w:r w:rsidR="00E24085">
        <w:rPr>
          <w:rFonts w:ascii="Arial" w:hAnsi="Arial" w:cs="Arial"/>
          <w:bCs/>
        </w:rPr>
        <w:t>hypertension was higher</w:t>
      </w:r>
      <w:r w:rsidRPr="00A2170B">
        <w:rPr>
          <w:rFonts w:ascii="Arial" w:hAnsi="Arial" w:cs="Arial"/>
          <w:bCs/>
        </w:rPr>
        <w:t xml:space="preserve"> fat intake, with an adjusted odds ratio (AOR) of 49.8 (p &lt; 0.001; 95% CI: 8.35-297.11). Meanwhile, obesity and less fat intake were not shown </w:t>
      </w:r>
      <w:r w:rsidRPr="00A2170B">
        <w:rPr>
          <w:rFonts w:ascii="Arial" w:hAnsi="Arial" w:cs="Arial"/>
          <w:bCs/>
        </w:rPr>
        <w:lastRenderedPageBreak/>
        <w:t xml:space="preserve">to be significantly associated after controlling </w:t>
      </w:r>
      <w:r w:rsidR="00E24085">
        <w:rPr>
          <w:rFonts w:ascii="Arial" w:hAnsi="Arial" w:cs="Arial"/>
          <w:bCs/>
        </w:rPr>
        <w:t>for each other</w:t>
      </w:r>
      <w:r w:rsidRPr="00A2170B">
        <w:rPr>
          <w:rFonts w:ascii="Arial" w:hAnsi="Arial" w:cs="Arial"/>
          <w:bCs/>
        </w:rPr>
        <w:t>.</w:t>
      </w:r>
    </w:p>
    <w:p w14:paraId="6B6CF2CE" w14:textId="77777777" w:rsidR="00671661" w:rsidRPr="00671661" w:rsidRDefault="00671661" w:rsidP="00671661">
      <w:pPr>
        <w:spacing w:after="0" w:line="360" w:lineRule="auto"/>
        <w:ind w:firstLine="720"/>
        <w:jc w:val="both"/>
        <w:rPr>
          <w:rFonts w:ascii="Arial" w:hAnsi="Arial" w:cs="Arial"/>
          <w:bCs/>
          <w:lang w:val="en-US"/>
        </w:rPr>
      </w:pPr>
    </w:p>
    <w:p w14:paraId="2CDF933B" w14:textId="372349E2" w:rsidR="00A2170B" w:rsidRDefault="00A2170B" w:rsidP="00671661">
      <w:pPr>
        <w:spacing w:after="0" w:line="360" w:lineRule="auto"/>
        <w:jc w:val="both"/>
        <w:rPr>
          <w:rFonts w:ascii="Arial" w:hAnsi="Arial" w:cs="Arial"/>
          <w:b/>
        </w:rPr>
      </w:pPr>
      <w:r w:rsidRPr="00A2170B">
        <w:rPr>
          <w:rFonts w:ascii="Arial" w:hAnsi="Arial" w:cs="Arial"/>
          <w:b/>
        </w:rPr>
        <w:t>DISCUSSION</w:t>
      </w:r>
    </w:p>
    <w:p w14:paraId="5FD6306D" w14:textId="77777777" w:rsidR="00671661" w:rsidRDefault="00671661" w:rsidP="00671661">
      <w:pPr>
        <w:spacing w:after="0" w:line="360" w:lineRule="auto"/>
        <w:jc w:val="both"/>
        <w:rPr>
          <w:rFonts w:ascii="Arial" w:hAnsi="Arial" w:cs="Arial"/>
          <w:b/>
        </w:rPr>
      </w:pPr>
    </w:p>
    <w:p w14:paraId="1CD6C7EB" w14:textId="342E034B" w:rsidR="00C42D38" w:rsidRPr="00671661" w:rsidRDefault="00C42D38" w:rsidP="00671661">
      <w:pPr>
        <w:spacing w:after="0" w:line="360" w:lineRule="auto"/>
        <w:jc w:val="both"/>
        <w:rPr>
          <w:rFonts w:ascii="Arial" w:hAnsi="Arial" w:cs="Arial"/>
          <w:b/>
          <w:i/>
          <w:iCs/>
        </w:rPr>
      </w:pPr>
      <w:r w:rsidRPr="00671661">
        <w:rPr>
          <w:rFonts w:ascii="Arial" w:hAnsi="Arial" w:cs="Arial"/>
          <w:b/>
          <w:i/>
          <w:iCs/>
        </w:rPr>
        <w:t>Characteristics of Research Subjects</w:t>
      </w:r>
    </w:p>
    <w:p w14:paraId="540E0076" w14:textId="55F2F9BC" w:rsidR="00C42D38" w:rsidRPr="00C42D38" w:rsidRDefault="00C42D38" w:rsidP="00671661">
      <w:pPr>
        <w:spacing w:after="0" w:line="360" w:lineRule="auto"/>
        <w:ind w:firstLine="720"/>
        <w:jc w:val="both"/>
        <w:rPr>
          <w:rFonts w:ascii="Arial" w:hAnsi="Arial" w:cs="Arial"/>
          <w:bCs/>
        </w:rPr>
      </w:pPr>
      <w:r w:rsidRPr="00C42D38">
        <w:rPr>
          <w:rFonts w:ascii="Arial" w:hAnsi="Arial" w:cs="Arial"/>
          <w:bCs/>
        </w:rPr>
        <w:t>In this study, the distribution of the characteristics of the research subjects showed that the case group (hypertension) was mostly 35-44 years old (27%) and 45-54 years old (23%), while the control group was mostly 35-44 years old (39%). This shows that the incidence of hypertension occurs more in the relatively productive age range</w:t>
      </w:r>
      <w:r w:rsidR="00E24085">
        <w:rPr>
          <w:rFonts w:ascii="Arial" w:hAnsi="Arial" w:cs="Arial"/>
          <w:bCs/>
        </w:rPr>
        <w:t>,</w:t>
      </w:r>
      <w:r w:rsidRPr="00C42D38">
        <w:rPr>
          <w:rFonts w:ascii="Arial" w:hAnsi="Arial" w:cs="Arial"/>
          <w:bCs/>
        </w:rPr>
        <w:t xml:space="preserve"> as in the Riskesdas data.</w:t>
      </w:r>
      <w:r w:rsidR="00B935FF">
        <w:rPr>
          <w:rFonts w:ascii="Arial" w:hAnsi="Arial" w:cs="Arial"/>
          <w:bCs/>
        </w:rPr>
        <w:t xml:space="preserve"> </w:t>
      </w:r>
      <w:r w:rsidRPr="00C42D38">
        <w:rPr>
          <w:rFonts w:ascii="Arial" w:hAnsi="Arial" w:cs="Arial"/>
          <w:bCs/>
        </w:rPr>
        <w:t>These results are in line with Tiara &amp; Ulfa's research, which states that hypertension can occur at a young age due to unhealthy lifestyles and diets.</w:t>
      </w:r>
      <w:r w:rsidR="00D9256F" w:rsidRPr="00D9256F">
        <w:rPr>
          <w:rFonts w:ascii="Arial" w:hAnsi="Arial" w:cs="Arial"/>
          <w:bCs/>
          <w:vertAlign w:val="superscript"/>
        </w:rPr>
        <w:t>1</w:t>
      </w:r>
      <w:r w:rsidR="00933489">
        <w:rPr>
          <w:rFonts w:ascii="Arial" w:hAnsi="Arial" w:cs="Arial"/>
          <w:bCs/>
          <w:vertAlign w:val="superscript"/>
        </w:rPr>
        <w:t>4</w:t>
      </w:r>
      <w:r w:rsidR="00334B02">
        <w:rPr>
          <w:rFonts w:ascii="Arial" w:hAnsi="Arial" w:cs="Arial"/>
          <w:bCs/>
          <w:vertAlign w:val="superscript"/>
        </w:rPr>
        <w:t>,1</w:t>
      </w:r>
      <w:r w:rsidR="00933489">
        <w:rPr>
          <w:rFonts w:ascii="Arial" w:hAnsi="Arial" w:cs="Arial"/>
          <w:bCs/>
          <w:vertAlign w:val="superscript"/>
        </w:rPr>
        <w:t>5</w:t>
      </w:r>
    </w:p>
    <w:p w14:paraId="3834954C" w14:textId="587F6510" w:rsidR="00C42D38" w:rsidRPr="00C42D38" w:rsidRDefault="00C42D38" w:rsidP="00671661">
      <w:pPr>
        <w:spacing w:after="0" w:line="360" w:lineRule="auto"/>
        <w:ind w:firstLine="720"/>
        <w:jc w:val="both"/>
        <w:rPr>
          <w:rFonts w:ascii="Arial" w:hAnsi="Arial" w:cs="Arial"/>
          <w:bCs/>
        </w:rPr>
      </w:pPr>
      <w:r w:rsidRPr="00C42D38">
        <w:rPr>
          <w:rFonts w:ascii="Arial" w:hAnsi="Arial" w:cs="Arial"/>
          <w:bCs/>
        </w:rPr>
        <w:t>Judging from fat intake, most of the case subjects had more fat intake (43%) compared to the controls</w:t>
      </w:r>
      <w:r w:rsidR="00E24085">
        <w:rPr>
          <w:rFonts w:ascii="Arial" w:hAnsi="Arial" w:cs="Arial"/>
          <w:bCs/>
        </w:rPr>
        <w:t>,</w:t>
      </w:r>
      <w:r w:rsidRPr="00C42D38">
        <w:rPr>
          <w:rFonts w:ascii="Arial" w:hAnsi="Arial" w:cs="Arial"/>
          <w:bCs/>
        </w:rPr>
        <w:t xml:space="preserve"> who predominantly had sufficient fat intake (31%) and less (17%). This indicates a tendency to increase the risk of hypertension in individuals with excess fat intake. This finding is supported by research by Lestari et al, who reported that </w:t>
      </w:r>
      <w:r w:rsidR="00E24085">
        <w:rPr>
          <w:rFonts w:ascii="Arial" w:hAnsi="Arial" w:cs="Arial"/>
          <w:bCs/>
        </w:rPr>
        <w:t>high-fat</w:t>
      </w:r>
      <w:r w:rsidRPr="00C42D38">
        <w:rPr>
          <w:rFonts w:ascii="Arial" w:hAnsi="Arial" w:cs="Arial"/>
          <w:bCs/>
        </w:rPr>
        <w:t xml:space="preserve"> intake, especially saturated fat, is associated with increased blood pressure through the mechanism of increased vascular stiffness and peripheral resistance.</w:t>
      </w:r>
      <w:r w:rsidR="00D9256F" w:rsidRPr="00D9256F">
        <w:rPr>
          <w:rFonts w:ascii="Arial" w:hAnsi="Arial" w:cs="Arial"/>
          <w:bCs/>
          <w:vertAlign w:val="superscript"/>
        </w:rPr>
        <w:t>1</w:t>
      </w:r>
      <w:r w:rsidR="00933489">
        <w:rPr>
          <w:rFonts w:ascii="Arial" w:hAnsi="Arial" w:cs="Arial"/>
          <w:bCs/>
          <w:vertAlign w:val="superscript"/>
        </w:rPr>
        <w:t>6</w:t>
      </w:r>
    </w:p>
    <w:p w14:paraId="6441150F" w14:textId="4B77640E" w:rsidR="00C42D38" w:rsidRDefault="00C42D38" w:rsidP="00671661">
      <w:pPr>
        <w:spacing w:after="0" w:line="360" w:lineRule="auto"/>
        <w:ind w:firstLine="720"/>
        <w:jc w:val="both"/>
        <w:rPr>
          <w:rFonts w:ascii="Arial" w:hAnsi="Arial" w:cs="Arial"/>
          <w:bCs/>
          <w:vertAlign w:val="superscript"/>
        </w:rPr>
      </w:pPr>
      <w:r w:rsidRPr="00C42D38">
        <w:rPr>
          <w:rFonts w:ascii="Arial" w:hAnsi="Arial" w:cs="Arial"/>
          <w:bCs/>
        </w:rPr>
        <w:t xml:space="preserve">In the obesity variable, most of the case subjects were classified as obese (39%), while the control group was dominated by non-obese subjects (45%). </w:t>
      </w:r>
      <w:r w:rsidRPr="00C42D38">
        <w:rPr>
          <w:rFonts w:ascii="Arial" w:hAnsi="Arial" w:cs="Arial"/>
          <w:bCs/>
        </w:rPr>
        <w:t>These results reinforce previous findings that obesity is an important risk factor for hypertension. Badriyah &amp; Pratiwi's research states that obesity increases blood pressure through the mechanism of sympathetic nervous system activation, sodium retention, and increased peripheral vascular resistance.</w:t>
      </w:r>
      <w:r w:rsidR="00D9256F" w:rsidRPr="00D9256F">
        <w:rPr>
          <w:rFonts w:ascii="Arial" w:hAnsi="Arial" w:cs="Arial"/>
          <w:bCs/>
          <w:vertAlign w:val="superscript"/>
        </w:rPr>
        <w:t>1</w:t>
      </w:r>
      <w:r w:rsidR="00933489">
        <w:rPr>
          <w:rFonts w:ascii="Arial" w:hAnsi="Arial" w:cs="Arial"/>
          <w:bCs/>
          <w:vertAlign w:val="superscript"/>
        </w:rPr>
        <w:t>7</w:t>
      </w:r>
    </w:p>
    <w:p w14:paraId="7CE83F5A" w14:textId="77777777" w:rsidR="00671661" w:rsidRDefault="00671661" w:rsidP="00671661">
      <w:pPr>
        <w:spacing w:after="0" w:line="360" w:lineRule="auto"/>
        <w:jc w:val="both"/>
        <w:rPr>
          <w:rFonts w:ascii="Arial" w:hAnsi="Arial" w:cs="Arial"/>
          <w:b/>
          <w:i/>
          <w:iCs/>
        </w:rPr>
      </w:pPr>
    </w:p>
    <w:p w14:paraId="5FAE8BDE" w14:textId="370CB0D2" w:rsidR="00C42D38" w:rsidRPr="00671661" w:rsidRDefault="00C42D38" w:rsidP="00671661">
      <w:pPr>
        <w:spacing w:after="0" w:line="360" w:lineRule="auto"/>
        <w:jc w:val="both"/>
        <w:rPr>
          <w:rFonts w:ascii="Arial" w:hAnsi="Arial" w:cs="Arial"/>
          <w:b/>
          <w:i/>
          <w:iCs/>
        </w:rPr>
      </w:pPr>
      <w:r w:rsidRPr="00671661">
        <w:rPr>
          <w:rFonts w:ascii="Arial" w:hAnsi="Arial" w:cs="Arial"/>
          <w:b/>
          <w:i/>
          <w:iCs/>
        </w:rPr>
        <w:t>Relationship between Fat Intake and Hypertension</w:t>
      </w:r>
    </w:p>
    <w:p w14:paraId="011FDF15" w14:textId="709B4815" w:rsidR="00C42D38" w:rsidRPr="00C42D38" w:rsidRDefault="00C42D38" w:rsidP="00671661">
      <w:pPr>
        <w:spacing w:after="0" w:line="360" w:lineRule="auto"/>
        <w:ind w:firstLine="720"/>
        <w:jc w:val="both"/>
        <w:rPr>
          <w:rFonts w:ascii="Arial" w:hAnsi="Arial" w:cs="Arial"/>
          <w:bCs/>
        </w:rPr>
      </w:pPr>
      <w:r w:rsidRPr="00C42D38">
        <w:rPr>
          <w:rFonts w:ascii="Arial" w:hAnsi="Arial" w:cs="Arial"/>
          <w:bCs/>
        </w:rPr>
        <w:t>Chi-square test showed a significant difference in fat intake between the hypertensive and non-hypertensive groups (p &lt; 0.001). This finding was further supported by multivariate logistic regression analysis, which revealed that excessive fat intake had a p-value &lt;0.001 and an adjusted odds ratio (AOR) of 49.8. This indicates that subjects with excessive fat intake had approximately 50 times higher risk of developing hypertension compared to those with adequate fat intake. These results suggest that excessive fat intake is a major risk factor for hypertension in this population.</w:t>
      </w:r>
    </w:p>
    <w:p w14:paraId="1497EAA6" w14:textId="011FCE4F" w:rsidR="00C42D38" w:rsidRPr="00C42D38" w:rsidRDefault="00C42D38" w:rsidP="00671661">
      <w:pPr>
        <w:spacing w:after="0" w:line="360" w:lineRule="auto"/>
        <w:ind w:firstLine="720"/>
        <w:jc w:val="both"/>
        <w:rPr>
          <w:rFonts w:ascii="Arial" w:hAnsi="Arial" w:cs="Arial"/>
          <w:bCs/>
        </w:rPr>
      </w:pPr>
      <w:r w:rsidRPr="00C42D38">
        <w:rPr>
          <w:rFonts w:ascii="Arial" w:hAnsi="Arial" w:cs="Arial"/>
          <w:bCs/>
        </w:rPr>
        <w:t xml:space="preserve">This finding aligns with the study by Lusi Ayu Kartika et al., which reported a significant association between fat intake and hypertension (p = 0.009; OR = 3.839; 95% CI: 1.357–10.861), indicating that subjects with high fat intake were 3.8 times more likely to develop hypertension compared to those with moderate or low fat intake. Similarly, a study by Imbar et al. also found an association between dietary fat consumption and the prevalence of </w:t>
      </w:r>
      <w:r w:rsidRPr="00C42D38">
        <w:rPr>
          <w:rFonts w:ascii="Arial" w:hAnsi="Arial" w:cs="Arial"/>
          <w:bCs/>
        </w:rPr>
        <w:lastRenderedPageBreak/>
        <w:t>hypertension (p = 0.019 &lt; 0.05). This result is further supported by research conducted by Legi et al., which demonstrated a significant relationship between dietary fat intake and the occurrence of hypertension among patients at Paceda Health Center, Bitung City (p = 0.044 &lt; 0.05).</w:t>
      </w:r>
      <w:r w:rsidR="00334B02" w:rsidRPr="00334B02">
        <w:rPr>
          <w:rFonts w:ascii="Arial" w:hAnsi="Arial" w:cs="Arial"/>
          <w:bCs/>
          <w:vertAlign w:val="superscript"/>
        </w:rPr>
        <w:t>1</w:t>
      </w:r>
      <w:r w:rsidR="00933489">
        <w:rPr>
          <w:rFonts w:ascii="Arial" w:hAnsi="Arial" w:cs="Arial"/>
          <w:bCs/>
          <w:vertAlign w:val="superscript"/>
        </w:rPr>
        <w:t>8</w:t>
      </w:r>
      <w:r w:rsidR="00334B02" w:rsidRPr="00334B02">
        <w:rPr>
          <w:rFonts w:ascii="Arial" w:hAnsi="Arial" w:cs="Arial"/>
          <w:bCs/>
          <w:vertAlign w:val="superscript"/>
        </w:rPr>
        <w:t>,1</w:t>
      </w:r>
      <w:r w:rsidR="00933489">
        <w:rPr>
          <w:rFonts w:ascii="Arial" w:hAnsi="Arial" w:cs="Arial"/>
          <w:bCs/>
          <w:vertAlign w:val="superscript"/>
        </w:rPr>
        <w:t>9</w:t>
      </w:r>
    </w:p>
    <w:p w14:paraId="6A20C2B2" w14:textId="4898D8A0" w:rsidR="00C42D38" w:rsidRDefault="00C42D38" w:rsidP="00671661">
      <w:pPr>
        <w:spacing w:after="0" w:line="360" w:lineRule="auto"/>
        <w:ind w:firstLine="720"/>
        <w:jc w:val="both"/>
        <w:rPr>
          <w:rFonts w:ascii="Arial" w:hAnsi="Arial" w:cs="Arial"/>
          <w:bCs/>
        </w:rPr>
      </w:pPr>
      <w:r w:rsidRPr="00C42D38">
        <w:rPr>
          <w:rFonts w:ascii="Arial" w:hAnsi="Arial" w:cs="Arial"/>
          <w:bCs/>
        </w:rPr>
        <w:t xml:space="preserve">However, these results differ from the findings of Annisa Yuri Ekaningrum, </w:t>
      </w:r>
      <w:r w:rsidR="00E24085">
        <w:rPr>
          <w:rFonts w:ascii="Arial" w:hAnsi="Arial" w:cs="Arial"/>
          <w:bCs/>
        </w:rPr>
        <w:t>who</w:t>
      </w:r>
      <w:r w:rsidRPr="00C42D38">
        <w:rPr>
          <w:rFonts w:ascii="Arial" w:hAnsi="Arial" w:cs="Arial"/>
          <w:bCs/>
        </w:rPr>
        <w:t xml:space="preserve"> reported no significant association between fat intake and hypertension (p = 0.323 &gt; 0.05). The discrepancy may be attributed to differences in subject characteristics (such as location, age, and sex), methods used to assess fat intake (FFQ versus 24-hour recall), distribution of fat intake categories among subjects, as well as differences in statistical analysis and controlled confounding variables. In Ekaningrum's study, the inclusion of various lifestyle and psychological factors may have influenced the final results, leading to a non-significant association.</w:t>
      </w:r>
      <w:r w:rsidR="00933489">
        <w:rPr>
          <w:rFonts w:ascii="Arial" w:hAnsi="Arial" w:cs="Arial"/>
          <w:bCs/>
          <w:vertAlign w:val="superscript"/>
        </w:rPr>
        <w:t>20</w:t>
      </w:r>
    </w:p>
    <w:p w14:paraId="6C7487E7" w14:textId="77777777" w:rsidR="00671661" w:rsidRDefault="00671661" w:rsidP="00671661">
      <w:pPr>
        <w:spacing w:after="0" w:line="360" w:lineRule="auto"/>
        <w:jc w:val="both"/>
        <w:rPr>
          <w:rFonts w:ascii="Arial" w:hAnsi="Arial" w:cs="Arial"/>
          <w:b/>
          <w:i/>
          <w:iCs/>
        </w:rPr>
      </w:pPr>
    </w:p>
    <w:p w14:paraId="06C6F9E5" w14:textId="74D36271" w:rsidR="00C42D38" w:rsidRPr="00671661" w:rsidRDefault="00C42D38" w:rsidP="00671661">
      <w:pPr>
        <w:spacing w:after="0" w:line="360" w:lineRule="auto"/>
        <w:jc w:val="both"/>
        <w:rPr>
          <w:rFonts w:ascii="Arial" w:hAnsi="Arial" w:cs="Arial"/>
          <w:b/>
          <w:i/>
          <w:iCs/>
        </w:rPr>
      </w:pPr>
      <w:r w:rsidRPr="00671661">
        <w:rPr>
          <w:rFonts w:ascii="Arial" w:hAnsi="Arial" w:cs="Arial"/>
          <w:b/>
          <w:i/>
          <w:iCs/>
        </w:rPr>
        <w:t>Relationship between Obesity and Hypertension</w:t>
      </w:r>
    </w:p>
    <w:p w14:paraId="39C5D4D8" w14:textId="1F28C4E9" w:rsidR="00B66ECC" w:rsidRPr="00B66ECC" w:rsidRDefault="00B66ECC" w:rsidP="00671661">
      <w:pPr>
        <w:spacing w:after="0" w:line="360" w:lineRule="auto"/>
        <w:ind w:firstLine="720"/>
        <w:jc w:val="both"/>
        <w:rPr>
          <w:rFonts w:ascii="Arial" w:hAnsi="Arial" w:cs="Arial"/>
          <w:bCs/>
        </w:rPr>
      </w:pPr>
      <w:r w:rsidRPr="00B66ECC">
        <w:rPr>
          <w:rFonts w:ascii="Arial" w:hAnsi="Arial" w:cs="Arial"/>
          <w:bCs/>
        </w:rPr>
        <w:t xml:space="preserve">Chi-square test showed a significant association between obesity and hypertension (p &lt; 0.001), with an odds ratio (OR) of 0.031 (95% CI: 0.010–0.098). However, when multivariate analysis using logistic regression was conducted, obesity status showed a p-value of 0.070 and an adjusted odds ratio (AOR) of 4.47, indicating that obesity was no longer statistically significant after being adjusted for other variables, particularly fat intake. </w:t>
      </w:r>
      <w:r w:rsidRPr="00B66ECC">
        <w:rPr>
          <w:rFonts w:ascii="Arial" w:hAnsi="Arial" w:cs="Arial"/>
          <w:bCs/>
        </w:rPr>
        <w:t>This suggests that although obesity was associated with hypertension in bivariate analysis, its contribution became non-significant when fat intake was considered.</w:t>
      </w:r>
    </w:p>
    <w:p w14:paraId="45FE1C43" w14:textId="64CE8F81" w:rsidR="00B66ECC" w:rsidRPr="00B66ECC" w:rsidRDefault="00B66ECC" w:rsidP="00671661">
      <w:pPr>
        <w:spacing w:after="0" w:line="360" w:lineRule="auto"/>
        <w:ind w:firstLine="720"/>
        <w:jc w:val="both"/>
        <w:rPr>
          <w:rFonts w:ascii="Arial" w:hAnsi="Arial" w:cs="Arial"/>
          <w:bCs/>
        </w:rPr>
      </w:pPr>
      <w:r w:rsidRPr="00B66ECC">
        <w:rPr>
          <w:rFonts w:ascii="Arial" w:hAnsi="Arial" w:cs="Arial"/>
          <w:bCs/>
        </w:rPr>
        <w:t>This finding is consistent with a study conducted by Maharani and Supadmi at Petang I Public Health Center, Badung, which also reported that obesity was not significantly associated with hypertension (p = 0.271). This indicates that obesity does not always serve as a dominant factor in increasing blood pressure, especially when stronger risk factors such as excessive fat intake are present. Similarly, research by Menggansa et al. showed no significant relationship between obesity and hypertension among outpatients at Ranomut Public Health Center, Manado City (p = 0.320 &gt; 0.05).</w:t>
      </w:r>
      <w:r w:rsidR="00995E42" w:rsidRPr="00995E42">
        <w:rPr>
          <w:rFonts w:ascii="Arial" w:hAnsi="Arial" w:cs="Arial"/>
          <w:bCs/>
          <w:vertAlign w:val="superscript"/>
        </w:rPr>
        <w:t>2</w:t>
      </w:r>
      <w:r w:rsidR="00933489">
        <w:rPr>
          <w:rFonts w:ascii="Arial" w:hAnsi="Arial" w:cs="Arial"/>
          <w:bCs/>
          <w:vertAlign w:val="superscript"/>
        </w:rPr>
        <w:t>1</w:t>
      </w:r>
      <w:r w:rsidR="00995E42" w:rsidRPr="00995E42">
        <w:rPr>
          <w:rFonts w:ascii="Arial" w:hAnsi="Arial" w:cs="Arial"/>
          <w:bCs/>
          <w:vertAlign w:val="superscript"/>
        </w:rPr>
        <w:t>,2</w:t>
      </w:r>
      <w:r w:rsidR="00933489">
        <w:rPr>
          <w:rFonts w:ascii="Arial" w:hAnsi="Arial" w:cs="Arial"/>
          <w:bCs/>
          <w:vertAlign w:val="superscript"/>
        </w:rPr>
        <w:t>2</w:t>
      </w:r>
    </w:p>
    <w:p w14:paraId="7568CF99" w14:textId="14148091" w:rsidR="00B66ECC" w:rsidRDefault="00B66ECC" w:rsidP="00671661">
      <w:pPr>
        <w:spacing w:after="0" w:line="360" w:lineRule="auto"/>
        <w:ind w:firstLine="720"/>
        <w:jc w:val="both"/>
        <w:rPr>
          <w:rFonts w:ascii="Arial" w:hAnsi="Arial" w:cs="Arial"/>
          <w:bCs/>
        </w:rPr>
      </w:pPr>
      <w:r w:rsidRPr="00B66ECC">
        <w:rPr>
          <w:rFonts w:ascii="Arial" w:hAnsi="Arial" w:cs="Arial"/>
          <w:bCs/>
        </w:rPr>
        <w:t>However, this result differs from the study by Yanti et al., which found a significant association between obesity and hypertension in adults (p = 0.031 &lt; 0.05). This discrepancy may be attributed to differences in subject characteristics, analytical methods, and controlled confounding variables across studies.</w:t>
      </w:r>
      <w:r w:rsidR="00995E42" w:rsidRPr="00995E42">
        <w:rPr>
          <w:rFonts w:ascii="Arial" w:hAnsi="Arial" w:cs="Arial"/>
          <w:bCs/>
          <w:vertAlign w:val="superscript"/>
        </w:rPr>
        <w:t>2</w:t>
      </w:r>
      <w:r w:rsidR="00933489">
        <w:rPr>
          <w:rFonts w:ascii="Arial" w:hAnsi="Arial" w:cs="Arial"/>
          <w:bCs/>
          <w:vertAlign w:val="superscript"/>
        </w:rPr>
        <w:t>3</w:t>
      </w:r>
    </w:p>
    <w:p w14:paraId="7237BBD2" w14:textId="77777777" w:rsidR="00671661" w:rsidRDefault="00671661" w:rsidP="00671661">
      <w:pPr>
        <w:spacing w:after="0" w:line="360" w:lineRule="auto"/>
        <w:jc w:val="both"/>
        <w:rPr>
          <w:rFonts w:ascii="Arial" w:hAnsi="Arial" w:cs="Arial"/>
          <w:b/>
          <w:i/>
          <w:iCs/>
        </w:rPr>
      </w:pPr>
    </w:p>
    <w:p w14:paraId="4C0D3C44" w14:textId="4D8E96B0" w:rsidR="00B66ECC" w:rsidRPr="00671661" w:rsidRDefault="00B66ECC" w:rsidP="00671661">
      <w:pPr>
        <w:spacing w:after="0" w:line="360" w:lineRule="auto"/>
        <w:jc w:val="both"/>
        <w:rPr>
          <w:rFonts w:ascii="Arial" w:hAnsi="Arial" w:cs="Arial"/>
          <w:b/>
          <w:i/>
          <w:iCs/>
        </w:rPr>
      </w:pPr>
      <w:r w:rsidRPr="00671661">
        <w:rPr>
          <w:rFonts w:ascii="Arial" w:hAnsi="Arial" w:cs="Arial"/>
          <w:b/>
          <w:i/>
          <w:iCs/>
        </w:rPr>
        <w:t>Analysis of Dominant Risk Factors in Research Subjects</w:t>
      </w:r>
    </w:p>
    <w:p w14:paraId="1644856F" w14:textId="3FD33DF1" w:rsidR="00B66ECC" w:rsidRPr="00B66ECC" w:rsidRDefault="00B66ECC" w:rsidP="00671661">
      <w:pPr>
        <w:spacing w:after="0" w:line="360" w:lineRule="auto"/>
        <w:ind w:firstLine="720"/>
        <w:jc w:val="both"/>
        <w:rPr>
          <w:rFonts w:ascii="Arial" w:hAnsi="Arial" w:cs="Arial"/>
          <w:bCs/>
        </w:rPr>
      </w:pPr>
      <w:r w:rsidRPr="00B66ECC">
        <w:rPr>
          <w:rFonts w:ascii="Arial" w:hAnsi="Arial" w:cs="Arial"/>
          <w:bCs/>
        </w:rPr>
        <w:t>Multivariate analysis in this study showed that among the two risk factors examined, fat intake had a more dominant contribution to the occurrence of hypertension in the study subjects. This was indicated by a p-value &lt; 0.001 and an odds ratio (OR) of 49.816 (95% CI: 8.352–</w:t>
      </w:r>
      <w:r w:rsidRPr="00B66ECC">
        <w:rPr>
          <w:rFonts w:ascii="Arial" w:hAnsi="Arial" w:cs="Arial"/>
          <w:bCs/>
        </w:rPr>
        <w:lastRenderedPageBreak/>
        <w:t>297.112) for the group with excessive fat intake, meaning that the risk of hypertension in this group was significantly higher compared to those with adequate fat intake. Meanwhile, obesity had a p-value of 0.070, indicating that it was not statistically significant after being adjusted for fat intake. Although obesity showed a significant relationship with hypertension in bivariate analysis, its contribution decreased in multivariate analysis, suggesting that the effect of obesity on hypertension may be mediated or influenced by fat intake.</w:t>
      </w:r>
    </w:p>
    <w:p w14:paraId="1F7F94D7" w14:textId="5349EB59" w:rsidR="00B66ECC" w:rsidRPr="00B66ECC" w:rsidRDefault="00B66ECC" w:rsidP="00671661">
      <w:pPr>
        <w:spacing w:after="0" w:line="360" w:lineRule="auto"/>
        <w:ind w:firstLine="720"/>
        <w:jc w:val="both"/>
        <w:rPr>
          <w:rFonts w:ascii="Arial" w:hAnsi="Arial" w:cs="Arial"/>
          <w:bCs/>
        </w:rPr>
      </w:pPr>
      <w:r w:rsidRPr="00B66ECC">
        <w:rPr>
          <w:rFonts w:ascii="Arial" w:hAnsi="Arial" w:cs="Arial"/>
          <w:bCs/>
        </w:rPr>
        <w:t>This finding is consistent with the study by Li et al., which reported that excessive fat consumption, especially saturated fat, directly contributes to increased blood pressure through mechanisms such as insulin resistance, endothelial dysfunction, and increased sympathetic nervous system activity. In contrast, obesity may act as an indirect risk factor, and its effect may not always remain significant after considering dietary and lifestyle factors.</w:t>
      </w:r>
      <w:r w:rsidR="00995E42" w:rsidRPr="00933489">
        <w:rPr>
          <w:rFonts w:ascii="Arial" w:hAnsi="Arial" w:cs="Arial"/>
          <w:bCs/>
          <w:vertAlign w:val="superscript"/>
        </w:rPr>
        <w:t>2</w:t>
      </w:r>
      <w:r w:rsidR="00933489">
        <w:rPr>
          <w:rFonts w:ascii="Arial" w:hAnsi="Arial" w:cs="Arial"/>
          <w:bCs/>
          <w:vertAlign w:val="superscript"/>
        </w:rPr>
        <w:t>4</w:t>
      </w:r>
    </w:p>
    <w:p w14:paraId="3E7C1016" w14:textId="2EECB62F" w:rsidR="00B66ECC" w:rsidRDefault="00B66ECC" w:rsidP="00671661">
      <w:pPr>
        <w:spacing w:after="0" w:line="360" w:lineRule="auto"/>
        <w:ind w:firstLine="720"/>
        <w:jc w:val="both"/>
        <w:rPr>
          <w:rFonts w:ascii="Arial" w:hAnsi="Arial" w:cs="Arial"/>
          <w:bCs/>
        </w:rPr>
      </w:pPr>
      <w:r w:rsidRPr="00B66ECC">
        <w:rPr>
          <w:rFonts w:ascii="Arial" w:hAnsi="Arial" w:cs="Arial"/>
          <w:bCs/>
        </w:rPr>
        <w:t>However, this result differs from the findings of Nurvitasari in Pojoksari Village, which showed that obesity was a significant risk factor for hypertension among pre-elderly individuals (p = 0.030; OR = 2.534). The discrepancy may be due to differences in the population studied (pre-elderly), the variables controlled (such as fat intake in this study), and analytical methods (bivariate analysis in Nurvitasari’s study).</w:t>
      </w:r>
      <w:r w:rsidR="00995E42" w:rsidRPr="00933489">
        <w:rPr>
          <w:rFonts w:ascii="Arial" w:hAnsi="Arial" w:cs="Arial"/>
          <w:bCs/>
          <w:vertAlign w:val="superscript"/>
        </w:rPr>
        <w:t>25</w:t>
      </w:r>
    </w:p>
    <w:p w14:paraId="10ACFFD0" w14:textId="77777777" w:rsidR="00671661" w:rsidRDefault="00671661" w:rsidP="00671661">
      <w:pPr>
        <w:spacing w:after="0" w:line="360" w:lineRule="auto"/>
        <w:jc w:val="both"/>
        <w:rPr>
          <w:rFonts w:ascii="Arial" w:hAnsi="Arial" w:cs="Arial"/>
          <w:b/>
        </w:rPr>
      </w:pPr>
    </w:p>
    <w:p w14:paraId="1E8E9A29" w14:textId="7D71C55A" w:rsidR="00B66ECC" w:rsidRDefault="00B66ECC" w:rsidP="00671661">
      <w:pPr>
        <w:spacing w:after="0" w:line="360" w:lineRule="auto"/>
        <w:jc w:val="both"/>
        <w:rPr>
          <w:rFonts w:ascii="Arial" w:hAnsi="Arial" w:cs="Arial"/>
          <w:b/>
        </w:rPr>
      </w:pPr>
      <w:r w:rsidRPr="00B66ECC">
        <w:rPr>
          <w:rFonts w:ascii="Arial" w:hAnsi="Arial" w:cs="Arial"/>
          <w:b/>
        </w:rPr>
        <w:t>CONCLUSION</w:t>
      </w:r>
    </w:p>
    <w:p w14:paraId="350FD717" w14:textId="77777777" w:rsidR="00671661" w:rsidRDefault="00B66ECC" w:rsidP="00671661">
      <w:pPr>
        <w:spacing w:after="0" w:line="360" w:lineRule="auto"/>
        <w:ind w:firstLine="720"/>
        <w:jc w:val="both"/>
        <w:rPr>
          <w:rFonts w:ascii="Arial" w:hAnsi="Arial" w:cs="Arial"/>
          <w:bCs/>
        </w:rPr>
        <w:sectPr w:rsidR="00671661" w:rsidSect="00671661">
          <w:type w:val="continuous"/>
          <w:pgSz w:w="11906" w:h="16838"/>
          <w:pgMar w:top="1440" w:right="1440" w:bottom="1440" w:left="1440" w:header="708" w:footer="708" w:gutter="0"/>
          <w:cols w:num="2" w:space="708"/>
          <w:docGrid w:linePitch="360"/>
        </w:sectPr>
      </w:pPr>
      <w:r w:rsidRPr="00B66ECC">
        <w:rPr>
          <w:rFonts w:ascii="Arial" w:hAnsi="Arial" w:cs="Arial"/>
          <w:bCs/>
        </w:rPr>
        <w:t>This study demonstrated a significant association between fat intake and hypertension among men aged 35–54 years at Simpang IV Sipin Public Health Center (p = 0.001 &lt; 0.05). In contrast, there was no significant relationship between obesity and hypertension in this population (p = 0.070 &gt; 0.05). Furthermore, excessive fat intake was identified as the dominant factor influencing the occurrence of hypertension compared to obesity. These findings highlight the critical role of dietary fat intake as a modifiable risk factor in the prevention and control of hypertension among adult men.</w:t>
      </w:r>
    </w:p>
    <w:p w14:paraId="6767DAB3" w14:textId="5F2D57FB" w:rsidR="00B66ECC" w:rsidRDefault="00B66ECC" w:rsidP="00B66ECC">
      <w:pPr>
        <w:spacing w:line="360" w:lineRule="auto"/>
        <w:jc w:val="both"/>
        <w:rPr>
          <w:rFonts w:ascii="Arial" w:hAnsi="Arial" w:cs="Arial"/>
          <w:b/>
        </w:rPr>
      </w:pPr>
      <w:r w:rsidRPr="00B66ECC">
        <w:rPr>
          <w:rFonts w:ascii="Arial" w:hAnsi="Arial" w:cs="Arial"/>
          <w:b/>
        </w:rPr>
        <w:t>REFERENCES</w:t>
      </w:r>
    </w:p>
    <w:p w14:paraId="1D789957" w14:textId="74A51DB6" w:rsidR="00B66ECC" w:rsidRPr="009D658C" w:rsidRDefault="00DB0118"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 xml:space="preserve">World Health Organization. Hypertension [Internet]. Geneva: WHO; 2023 [cited 2024 May 1]. Available from: </w:t>
      </w:r>
      <w:r w:rsidRPr="00671661">
        <w:rPr>
          <w:rFonts w:ascii="Arial" w:hAnsi="Arial" w:cs="Arial"/>
          <w:bCs/>
          <w:i/>
          <w:iCs/>
          <w:sz w:val="18"/>
          <w:szCs w:val="18"/>
        </w:rPr>
        <w:t>https://www.who.int/news-room/fact-sheets/detail/hypertension</w:t>
      </w:r>
    </w:p>
    <w:p w14:paraId="37D82565" w14:textId="2092E08B" w:rsidR="00DB0118" w:rsidRPr="009D658C" w:rsidRDefault="00DB0118"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 xml:space="preserve">Istarini A, Halim S, Iskandar M, William P. Peningkatan pengetahuan penyakit hipertensi pada civitas akademika </w:t>
      </w:r>
      <w:r w:rsidR="00E24085">
        <w:rPr>
          <w:rFonts w:ascii="Arial" w:hAnsi="Arial" w:cs="Arial"/>
          <w:bCs/>
          <w:i/>
          <w:iCs/>
          <w:sz w:val="18"/>
          <w:szCs w:val="18"/>
        </w:rPr>
        <w:t>Universitas</w:t>
      </w:r>
      <w:r w:rsidRPr="009D658C">
        <w:rPr>
          <w:rFonts w:ascii="Arial" w:hAnsi="Arial" w:cs="Arial"/>
          <w:bCs/>
          <w:i/>
          <w:iCs/>
          <w:sz w:val="18"/>
          <w:szCs w:val="18"/>
        </w:rPr>
        <w:t xml:space="preserve"> </w:t>
      </w:r>
      <w:r w:rsidR="00E24085">
        <w:rPr>
          <w:rFonts w:ascii="Arial" w:hAnsi="Arial" w:cs="Arial"/>
          <w:bCs/>
          <w:i/>
          <w:iCs/>
          <w:sz w:val="18"/>
          <w:szCs w:val="18"/>
        </w:rPr>
        <w:t>Jambi</w:t>
      </w:r>
      <w:r w:rsidRPr="009D658C">
        <w:rPr>
          <w:rFonts w:ascii="Arial" w:hAnsi="Arial" w:cs="Arial"/>
          <w:bCs/>
          <w:i/>
          <w:iCs/>
          <w:sz w:val="18"/>
          <w:szCs w:val="18"/>
        </w:rPr>
        <w:t xml:space="preserve"> di </w:t>
      </w:r>
      <w:r w:rsidR="009A74E8">
        <w:rPr>
          <w:rFonts w:ascii="Arial" w:hAnsi="Arial" w:cs="Arial"/>
          <w:bCs/>
          <w:i/>
          <w:iCs/>
          <w:sz w:val="18"/>
          <w:szCs w:val="18"/>
        </w:rPr>
        <w:t>Klinik</w:t>
      </w:r>
      <w:r w:rsidRPr="009D658C">
        <w:rPr>
          <w:rFonts w:ascii="Arial" w:hAnsi="Arial" w:cs="Arial"/>
          <w:bCs/>
          <w:i/>
          <w:iCs/>
          <w:sz w:val="18"/>
          <w:szCs w:val="18"/>
        </w:rPr>
        <w:t xml:space="preserve"> unja </w:t>
      </w:r>
      <w:r w:rsidR="009A74E8">
        <w:rPr>
          <w:rFonts w:ascii="Arial" w:hAnsi="Arial" w:cs="Arial"/>
          <w:bCs/>
          <w:i/>
          <w:iCs/>
          <w:sz w:val="18"/>
          <w:szCs w:val="18"/>
        </w:rPr>
        <w:t>Smart</w:t>
      </w:r>
      <w:r w:rsidRPr="009D658C">
        <w:rPr>
          <w:rFonts w:ascii="Arial" w:hAnsi="Arial" w:cs="Arial"/>
          <w:bCs/>
          <w:i/>
          <w:iCs/>
          <w:sz w:val="18"/>
          <w:szCs w:val="18"/>
        </w:rPr>
        <w:t>. Med Dedication J Pengabdi Kpd Masy FKIK UNJA. 2024;7(1):51–5.</w:t>
      </w:r>
    </w:p>
    <w:p w14:paraId="5B4B91FF" w14:textId="05B12192" w:rsidR="00DB0118" w:rsidRPr="009D658C" w:rsidRDefault="00DB0118"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Kementerian Kesehatan RI. Laporan Riskesdas 2018 Nasional. Badan Penelitian dan Pengembangan Kesehatan. 2019;</w:t>
      </w:r>
    </w:p>
    <w:p w14:paraId="7761866C" w14:textId="14E898FB" w:rsidR="00DB0118" w:rsidRPr="009D658C" w:rsidRDefault="0094653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Puspasari A, Maharani C, Halim R, Enis RN, Natasha N, Shafira A. Atherogenic index of plasma assessment as an effort to detect the risk of coronary heart disease in productive age individuals with obesity in the working area. Med Dedication. 2025;7:7-12.</w:t>
      </w:r>
    </w:p>
    <w:p w14:paraId="21A1C2C4" w14:textId="3E2DC642" w:rsidR="00946532" w:rsidRPr="009D658C" w:rsidRDefault="0094653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lastRenderedPageBreak/>
        <w:t>Tiara UI. Hubungan obesitas dengan kejadian hipertensi. J Health Sci Physiother. 2020;2(2):167-71.</w:t>
      </w:r>
    </w:p>
    <w:p w14:paraId="7D1BABBD" w14:textId="65E18E35" w:rsidR="007612D5" w:rsidRPr="009D658C" w:rsidRDefault="007612D5"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Halim R, Istarini A, Gading PW, Mulyadi D, Hanina H. Pemeriksaan status gizi dan edukasi nutrisi pada pasien hipertensi. Med Dedication J Pengabdi Kpd Masy FKIK UNJA. 2022;5(2):422-5.</w:t>
      </w:r>
    </w:p>
    <w:p w14:paraId="04EB9282" w14:textId="77777777" w:rsidR="00B935FF" w:rsidRPr="009D658C" w:rsidRDefault="00B935FF"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Azzubaidi SBS, Sari S, Putri R, Arifin H, Rahman F, Yusuf M. Hubungan tekanan darah dengan IMT (Indeks Massa Tubuh) pada mahasiswa angkatan 2020 Fakultas Kedokteran Universitas Muslim Indonesia. Makassar: Universitas Muslim Indonesia; 2023.</w:t>
      </w:r>
    </w:p>
    <w:p w14:paraId="3A4185AA" w14:textId="4309F5AC" w:rsidR="00946532" w:rsidRPr="009D658C" w:rsidRDefault="00B935FF"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Istarini A, Lipinwati L, Iskandar M, Halim S, Gading PW. Skrining fungsi kognitif pada penderita obesitas dan hipertensi di Klinik UNJA Smart Universitas Jambi. Med Dedication J Pengabdi Kpd Masy FKIK UNJA. 2023;6(2):94-9.</w:t>
      </w:r>
    </w:p>
    <w:p w14:paraId="70229449" w14:textId="43D41D06" w:rsidR="00B935FF" w:rsidRPr="009D658C" w:rsidRDefault="00B935FF"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 xml:space="preserve">Halim R, Puspasari A, Natasha N, Shafira A, Tarawifa S, Nofrienis R, et al. Asesmen komposisi lemak tubuh, tekanan darah dan profil metabolisme glukosa sebagai upaya deteksi dini penyakit </w:t>
      </w:r>
      <w:r w:rsidR="00E24085">
        <w:rPr>
          <w:rFonts w:ascii="Arial" w:hAnsi="Arial" w:cs="Arial"/>
          <w:bCs/>
          <w:i/>
          <w:iCs/>
          <w:sz w:val="18"/>
          <w:szCs w:val="18"/>
        </w:rPr>
        <w:t>kardiovaskular</w:t>
      </w:r>
      <w:r w:rsidRPr="009D658C">
        <w:rPr>
          <w:rFonts w:ascii="Arial" w:hAnsi="Arial" w:cs="Arial"/>
          <w:bCs/>
          <w:i/>
          <w:iCs/>
          <w:sz w:val="18"/>
          <w:szCs w:val="18"/>
        </w:rPr>
        <w:t xml:space="preserve"> pada penduduk usia produktif di wilayah kerja Puskesmas Simpang Sei Duren. Medic. 2024;7(1):34-9.</w:t>
      </w:r>
    </w:p>
    <w:p w14:paraId="781CAFE0" w14:textId="5B275397" w:rsidR="00933489" w:rsidRPr="009D658C" w:rsidRDefault="00933489"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Halim R, Suzan R. Pola makan dan asupan imunonutrisi, aktivitas fisik dan komposisi tubuh pada overweight dan obesitas selama pandemi COVID-19. Jambi Med J [Internet]. 2021;10(3):401-8. Available from: https://online-journal.unja.ac.id/kedokteran/article/view/19523/13855</w:t>
      </w:r>
    </w:p>
    <w:p w14:paraId="4F2C6519" w14:textId="3DBCF948" w:rsidR="00334B02" w:rsidRPr="009D658C" w:rsidRDefault="00334B0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Lipinwati, Istarini A, Dewi H, Sari Wulandari P, Halim S, Amatullah A, et al. Peningkatan pengetahuan masyarakat mengenai hipertensi di Puskesmas Olak Kemang, Danau Teluk</w:t>
      </w:r>
      <w:r w:rsidR="009A74E8">
        <w:rPr>
          <w:rFonts w:ascii="Arial" w:hAnsi="Arial" w:cs="Arial"/>
          <w:bCs/>
          <w:i/>
          <w:iCs/>
          <w:sz w:val="18"/>
          <w:szCs w:val="18"/>
        </w:rPr>
        <w:t>,</w:t>
      </w:r>
      <w:r w:rsidRPr="009D658C">
        <w:rPr>
          <w:rFonts w:ascii="Arial" w:hAnsi="Arial" w:cs="Arial"/>
          <w:bCs/>
          <w:i/>
          <w:iCs/>
          <w:sz w:val="18"/>
          <w:szCs w:val="18"/>
        </w:rPr>
        <w:t xml:space="preserve"> Kota Jambi. Medic. 2024;7(2):99-103.</w:t>
      </w:r>
    </w:p>
    <w:p w14:paraId="32D8DE6C" w14:textId="508FC693" w:rsidR="00334B02" w:rsidRPr="009D658C" w:rsidRDefault="00334B0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Suzan R, Harahap H, Halim R, Wulandari PS, Ariyanty N. Skrining dan edukasi pencegahan obesitas pada remaja di Kota Jambi. Med Dedication J Pengabdi Kpd Masy FKIK UNJA. 2022;5(2):450-4.</w:t>
      </w:r>
    </w:p>
    <w:p w14:paraId="36C1E678" w14:textId="3DEC9AA8" w:rsidR="00995E42" w:rsidRPr="009D658C" w:rsidRDefault="00995E4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Suzan R, Halim R, Ayudia EI. Associations of dietary intake, nutritional status, and physical activity with COVID-19 in overweight and obese adults. In: Proceedings of the 2nd Jambi Medical and Health Sciences International Conference; 2021 Nov 24–26; Jambi, Indonesia.</w:t>
      </w:r>
    </w:p>
    <w:p w14:paraId="7CE5AAB0" w14:textId="39BD433D" w:rsidR="00B935FF" w:rsidRPr="009D658C" w:rsidRDefault="00D9256F"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Harahap H, Kusdiyah E, Usni Zamzami M, Darmawan A, Susantarawifa, Raodah. Pelatihan aktivitas fisik yoga dan skrining dislipidemia pada penderita hipertensi di Puskesmas Pakuan Baru. Medic. 2024;7(2):87-91.</w:t>
      </w:r>
    </w:p>
    <w:p w14:paraId="4B14B151" w14:textId="77777777" w:rsidR="00D9256F" w:rsidRPr="009D658C" w:rsidRDefault="00D9256F"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Tiara, Ulfa I. Hubungan Obesitas dengan Kejadian Hipertensi. Journal of Health Science and Physiotherapy. 2020;2(2):167–171.</w:t>
      </w:r>
    </w:p>
    <w:p w14:paraId="75474907" w14:textId="77777777" w:rsidR="00D9256F" w:rsidRPr="009D658C" w:rsidRDefault="00D9256F"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Lestari NLMA, Putra IWY, Pradnyawathi NP, Yuliartha IM, Arnawati NK, Suryasa IW. Hubungan asupan lemak jenuh dan status obesitas terhadap derajat hipertensi pada pasien hipertensi rawat jalan di Puskesmas I Denpasar Timur. Denpasar: Poltekkes Kemenkes Denpasar; 2023.</w:t>
      </w:r>
    </w:p>
    <w:p w14:paraId="6EA6540D" w14:textId="77777777" w:rsidR="00D9256F" w:rsidRPr="009D658C" w:rsidRDefault="00D9256F"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Badriyah L, Pratiwi R. Hubungan obesitas dengan kejadian hipertensi dan hiperglikemia di Indonesia. Ghidza J Gizi Kesehat. 2024;8(1):33-8. doi:10.22487/ghidza.v8i1.1021.</w:t>
      </w:r>
    </w:p>
    <w:p w14:paraId="2DAF86B0" w14:textId="77777777" w:rsidR="00334B02" w:rsidRPr="009D658C" w:rsidRDefault="00334B0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Kartika LA, Afifah E, Suryani I. Asupan lemak dan aktivitas fisik serta hubungannya dengan kejadian hipertensi pada pasien rawat jalan. J Gizi Kesehatan. 2016;4(2):45-52.</w:t>
      </w:r>
    </w:p>
    <w:p w14:paraId="7E144FAF" w14:textId="15B40F42" w:rsidR="00334B02" w:rsidRPr="009D658C" w:rsidRDefault="00334B02" w:rsidP="00671661">
      <w:pPr>
        <w:pStyle w:val="ListParagraph"/>
        <w:numPr>
          <w:ilvl w:val="0"/>
          <w:numId w:val="1"/>
        </w:numPr>
        <w:spacing w:line="360" w:lineRule="auto"/>
        <w:ind w:left="284" w:hanging="284"/>
        <w:rPr>
          <w:rFonts w:ascii="Arial" w:hAnsi="Arial" w:cs="Arial"/>
          <w:bCs/>
          <w:i/>
          <w:iCs/>
          <w:sz w:val="18"/>
          <w:szCs w:val="18"/>
        </w:rPr>
      </w:pPr>
      <w:r w:rsidRPr="009D658C">
        <w:rPr>
          <w:rFonts w:ascii="Arial" w:hAnsi="Arial" w:cs="Arial"/>
          <w:bCs/>
          <w:i/>
          <w:iCs/>
          <w:sz w:val="18"/>
          <w:szCs w:val="18"/>
        </w:rPr>
        <w:t>Legi NN, Rumagit FA, Ansyu EY. Asupan lemak dan natrium pada penderita hipertensi di Puskesmas Paceda</w:t>
      </w:r>
      <w:r w:rsidR="009A74E8">
        <w:rPr>
          <w:rFonts w:ascii="Arial" w:hAnsi="Arial" w:cs="Arial"/>
          <w:bCs/>
          <w:i/>
          <w:iCs/>
          <w:sz w:val="18"/>
          <w:szCs w:val="18"/>
        </w:rPr>
        <w:t>,</w:t>
      </w:r>
      <w:r w:rsidRPr="009D658C">
        <w:rPr>
          <w:rFonts w:ascii="Arial" w:hAnsi="Arial" w:cs="Arial"/>
          <w:bCs/>
          <w:i/>
          <w:iCs/>
          <w:sz w:val="18"/>
          <w:szCs w:val="18"/>
        </w:rPr>
        <w:t xml:space="preserve"> Kecamatan Madidir Kota Bitung. Infokes. 2015;10(1):50-7.</w:t>
      </w:r>
    </w:p>
    <w:p w14:paraId="7A20962B" w14:textId="77777777" w:rsidR="00334B02" w:rsidRPr="009D658C" w:rsidRDefault="00334B0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Ekaningrum AY. Hubungan asupan natrium, lemak, gangguan mental emosional, dan gaya hidup dengan hipertensi pada dewasa di DKI Jakarta. J Nutr Coll. 2021;10(2):82-92.</w:t>
      </w:r>
    </w:p>
    <w:p w14:paraId="2371A9C8" w14:textId="4174450F" w:rsidR="00995E42" w:rsidRPr="009D658C" w:rsidRDefault="00995E4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Maharani, Supadmi W. Hubungan obesitas dengan kejadian hipertensi pada lansia di wilayah kerja Puskesmas Petang I Badung. Jurnal Ilmiah Kesehatan [Internet]. 2016 [cited 2025 Jul 1];7(2):83–9. Available from: https://jurnal.harianregional.com/eum/full-21559..</w:t>
      </w:r>
    </w:p>
    <w:p w14:paraId="7EF3FAFC" w14:textId="77777777" w:rsidR="00995E42" w:rsidRPr="009D658C" w:rsidRDefault="00995E4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Menggasa ER, Rompas RD, Yanti T. Hubungan antara obesitas dengan kejadian hipertensi pada pasien rawat jalan di Puskesmas Ranomut Kota Manado. J KESMAS. 2018;7(5):88-94.</w:t>
      </w:r>
    </w:p>
    <w:p w14:paraId="71B7CBC5" w14:textId="77777777" w:rsidR="00995E42" w:rsidRPr="009D658C" w:rsidRDefault="00995E42"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Yanti T, Fauziah D, Nurhadiyah S. Hubungan obesitas dengan kejadian hipertensi pada usia dewasa. J PPNI. 2018;3(1):22-7</w:t>
      </w:r>
    </w:p>
    <w:p w14:paraId="20BE3F8C" w14:textId="77777777" w:rsidR="00933489" w:rsidRPr="009D658C" w:rsidRDefault="00933489"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lastRenderedPageBreak/>
        <w:t>Li Y, Xu C, Zhang J, Zhang Y, Liu S, Zhang W, et al. Association of dietary fat intake with blood pressure in children and adolescents: a national cross-sectional study in China. J Hum Hypertens. 2023;37(1):1–8.</w:t>
      </w:r>
    </w:p>
    <w:p w14:paraId="1E860528" w14:textId="77777777" w:rsidR="00933489" w:rsidRPr="009D658C" w:rsidRDefault="00933489" w:rsidP="00671661">
      <w:pPr>
        <w:pStyle w:val="ListParagraph"/>
        <w:numPr>
          <w:ilvl w:val="0"/>
          <w:numId w:val="1"/>
        </w:numPr>
        <w:spacing w:line="360" w:lineRule="auto"/>
        <w:ind w:left="284" w:hanging="284"/>
        <w:jc w:val="both"/>
        <w:rPr>
          <w:rFonts w:ascii="Arial" w:hAnsi="Arial" w:cs="Arial"/>
          <w:bCs/>
          <w:i/>
          <w:iCs/>
          <w:sz w:val="18"/>
          <w:szCs w:val="18"/>
        </w:rPr>
      </w:pPr>
      <w:r w:rsidRPr="009D658C">
        <w:rPr>
          <w:rFonts w:ascii="Arial" w:hAnsi="Arial" w:cs="Arial"/>
          <w:bCs/>
          <w:i/>
          <w:iCs/>
          <w:sz w:val="18"/>
          <w:szCs w:val="18"/>
        </w:rPr>
        <w:t>Nurvitasari E. Hubungan obesitas dan stres dengan kejadian hipertensi pada pra</w:t>
      </w:r>
      <w:r w:rsidRPr="009D658C">
        <w:rPr>
          <w:rFonts w:ascii="Cambria Math" w:hAnsi="Cambria Math" w:cs="Cambria Math"/>
          <w:bCs/>
          <w:i/>
          <w:iCs/>
          <w:sz w:val="18"/>
          <w:szCs w:val="18"/>
        </w:rPr>
        <w:t>‑</w:t>
      </w:r>
      <w:r w:rsidRPr="009D658C">
        <w:rPr>
          <w:rFonts w:ascii="Arial" w:hAnsi="Arial" w:cs="Arial"/>
          <w:bCs/>
          <w:i/>
          <w:iCs/>
          <w:sz w:val="18"/>
          <w:szCs w:val="18"/>
        </w:rPr>
        <w:t>lansia di Desa Pojoksari, Kecamatan Sukomoro, Kabupaten Magetan [Skripsi]. Madiun (IN): STIKes Bhakti Husada Mulia; 2020. Available from: https://repository.stikes-bhm.ac.id/842/1/1.pdf</w:t>
      </w:r>
    </w:p>
    <w:p w14:paraId="2CC9433E" w14:textId="77777777" w:rsidR="00D9256F" w:rsidRPr="00DB0118" w:rsidRDefault="00D9256F" w:rsidP="009D658C">
      <w:pPr>
        <w:pStyle w:val="ListParagraph"/>
        <w:spacing w:line="360" w:lineRule="auto"/>
        <w:jc w:val="both"/>
        <w:rPr>
          <w:rFonts w:ascii="Arial" w:hAnsi="Arial" w:cs="Arial"/>
          <w:bCs/>
        </w:rPr>
      </w:pPr>
    </w:p>
    <w:sectPr w:rsidR="00D9256F" w:rsidRPr="00DB0118" w:rsidSect="0067166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45CA" w14:textId="77777777" w:rsidR="00D13922" w:rsidRDefault="00D13922" w:rsidP="00B66ECC">
      <w:pPr>
        <w:spacing w:after="0" w:line="240" w:lineRule="auto"/>
      </w:pPr>
      <w:r>
        <w:separator/>
      </w:r>
    </w:p>
  </w:endnote>
  <w:endnote w:type="continuationSeparator" w:id="0">
    <w:p w14:paraId="232D530D" w14:textId="77777777" w:rsidR="00D13922" w:rsidRDefault="00D13922" w:rsidP="00B6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CB8E" w14:textId="5E28CBD1" w:rsidR="00B66ECC" w:rsidRPr="006147A3" w:rsidRDefault="006147A3" w:rsidP="006147A3">
    <w:pPr>
      <w:pBdr>
        <w:top w:val="nil"/>
        <w:left w:val="nil"/>
        <w:bottom w:val="nil"/>
        <w:right w:val="nil"/>
        <w:between w:val="nil"/>
      </w:pBdr>
      <w:tabs>
        <w:tab w:val="center" w:pos="4513"/>
        <w:tab w:val="right" w:pos="9029"/>
      </w:tabs>
      <w:spacing w:after="0" w:line="240" w:lineRule="auto"/>
      <w:rPr>
        <w:rFonts w:ascii="Arial" w:eastAsia="Arial" w:hAnsi="Arial" w:cs="Arial"/>
        <w:sz w:val="20"/>
        <w:szCs w:val="20"/>
      </w:rPr>
    </w:pPr>
    <w:bookmarkStart w:id="0" w:name="_Hlk203738882"/>
    <w:r w:rsidRPr="00B338B9">
      <w:rPr>
        <w:rFonts w:ascii="Arial" w:eastAsiaTheme="majorEastAsia" w:hAnsi="Arial" w:cs="Arial"/>
        <w:sz w:val="20"/>
        <w:szCs w:val="20"/>
      </w:rPr>
      <w:t>https://online-journal.unja.ac.id/joms</w:t>
    </w:r>
    <w:bookmarkEnd w:id="0"/>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sz w:val="20"/>
        <w:szCs w:val="20"/>
      </w:rPr>
      <w:t>62</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E463" w14:textId="77777777" w:rsidR="00D13922" w:rsidRDefault="00D13922" w:rsidP="00B66ECC">
      <w:pPr>
        <w:spacing w:after="0" w:line="240" w:lineRule="auto"/>
      </w:pPr>
      <w:r>
        <w:separator/>
      </w:r>
    </w:p>
  </w:footnote>
  <w:footnote w:type="continuationSeparator" w:id="0">
    <w:p w14:paraId="546E8C18" w14:textId="77777777" w:rsidR="00D13922" w:rsidRDefault="00D13922" w:rsidP="00B66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F0A2" w14:textId="7CE808A7" w:rsidR="002517C8" w:rsidRDefault="002517C8" w:rsidP="002517C8">
    <w:pPr>
      <w:pBdr>
        <w:top w:val="nil"/>
        <w:left w:val="nil"/>
        <w:bottom w:val="nil"/>
        <w:right w:val="nil"/>
        <w:between w:val="nil"/>
      </w:pBdr>
      <w:tabs>
        <w:tab w:val="center" w:pos="4513"/>
        <w:tab w:val="right" w:pos="9026"/>
      </w:tabs>
      <w:spacing w:after="0" w:line="240" w:lineRule="auto"/>
      <w:rPr>
        <w:rFonts w:ascii="Arial" w:eastAsia="Arial" w:hAnsi="Arial" w:cs="Arial"/>
        <w:i/>
        <w:sz w:val="20"/>
        <w:szCs w:val="20"/>
      </w:rPr>
    </w:pPr>
    <w:r>
      <w:rPr>
        <w:rFonts w:ascii="Arial" w:eastAsia="Arial" w:hAnsi="Arial" w:cs="Arial"/>
        <w:i/>
        <w:sz w:val="20"/>
        <w:szCs w:val="20"/>
      </w:rPr>
      <w:t>Journal of Medical Studies 2025, 5(2)</w:t>
    </w:r>
    <w:r>
      <w:rPr>
        <w:rFonts w:ascii="Arial" w:eastAsia="Arial" w:hAnsi="Arial" w:cs="Arial"/>
        <w:i/>
        <w:sz w:val="20"/>
        <w:szCs w:val="20"/>
      </w:rPr>
      <w:tab/>
    </w:r>
    <w:r>
      <w:rPr>
        <w:rFonts w:ascii="Arial" w:eastAsia="Arial" w:hAnsi="Arial" w:cs="Arial"/>
        <w:i/>
        <w:sz w:val="20"/>
        <w:szCs w:val="20"/>
      </w:rPr>
      <w:tab/>
    </w:r>
    <w:r>
      <w:rPr>
        <w:rFonts w:ascii="Arial" w:eastAsia="Arial" w:hAnsi="Arial" w:cs="Arial"/>
        <w:i/>
        <w:sz w:val="20"/>
        <w:szCs w:val="20"/>
        <w:lang w:val="en-US"/>
      </w:rPr>
      <w:t>Sembiring</w:t>
    </w:r>
    <w:r>
      <w:rPr>
        <w:rFonts w:ascii="Arial" w:eastAsia="Arial" w:hAnsi="Arial" w:cs="Arial"/>
        <w:i/>
        <w:sz w:val="20"/>
        <w:szCs w:val="20"/>
      </w:rPr>
      <w:t xml:space="preserve"> </w:t>
    </w:r>
    <w:r w:rsidRPr="001A6D8D">
      <w:rPr>
        <w:rFonts w:ascii="Arial" w:eastAsia="Arial" w:hAnsi="Arial" w:cs="Arial"/>
        <w:i/>
        <w:sz w:val="20"/>
        <w:szCs w:val="20"/>
      </w:rPr>
      <w:t>et al.</w:t>
    </w:r>
  </w:p>
  <w:p w14:paraId="26B930E0" w14:textId="77777777" w:rsidR="002517C8" w:rsidRDefault="00251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96B35"/>
    <w:multiLevelType w:val="hybridMultilevel"/>
    <w:tmpl w:val="176E203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49"/>
    <w:rsid w:val="00193D94"/>
    <w:rsid w:val="002517C8"/>
    <w:rsid w:val="002966AF"/>
    <w:rsid w:val="00313C93"/>
    <w:rsid w:val="00334B02"/>
    <w:rsid w:val="00386BEE"/>
    <w:rsid w:val="003B6540"/>
    <w:rsid w:val="004054E6"/>
    <w:rsid w:val="00515E31"/>
    <w:rsid w:val="006147A3"/>
    <w:rsid w:val="00617BA6"/>
    <w:rsid w:val="00671661"/>
    <w:rsid w:val="006E03B4"/>
    <w:rsid w:val="007612D5"/>
    <w:rsid w:val="007D3BE7"/>
    <w:rsid w:val="00874C49"/>
    <w:rsid w:val="00933489"/>
    <w:rsid w:val="00934653"/>
    <w:rsid w:val="00946532"/>
    <w:rsid w:val="00995E42"/>
    <w:rsid w:val="009A74E8"/>
    <w:rsid w:val="009D658C"/>
    <w:rsid w:val="00A2170B"/>
    <w:rsid w:val="00A54E8E"/>
    <w:rsid w:val="00B66ECC"/>
    <w:rsid w:val="00B935FF"/>
    <w:rsid w:val="00C42D38"/>
    <w:rsid w:val="00D13922"/>
    <w:rsid w:val="00D86CC3"/>
    <w:rsid w:val="00D9256F"/>
    <w:rsid w:val="00DB0118"/>
    <w:rsid w:val="00DB2B36"/>
    <w:rsid w:val="00DC5944"/>
    <w:rsid w:val="00E24085"/>
    <w:rsid w:val="00E87859"/>
    <w:rsid w:val="00EF2FD7"/>
    <w:rsid w:val="00F10A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9549"/>
  <w15:chartTrackingRefBased/>
  <w15:docId w15:val="{D021A7BF-7E00-4D3E-9D85-08B72BF6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C4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934653"/>
    <w:rPr>
      <w:color w:val="0563C1" w:themeColor="hyperlink"/>
      <w:u w:val="single"/>
    </w:rPr>
  </w:style>
  <w:style w:type="character" w:styleId="UnresolvedMention">
    <w:name w:val="Unresolved Mention"/>
    <w:basedOn w:val="DefaultParagraphFont"/>
    <w:uiPriority w:val="99"/>
    <w:semiHidden/>
    <w:unhideWhenUsed/>
    <w:rsid w:val="00934653"/>
    <w:rPr>
      <w:color w:val="605E5C"/>
      <w:shd w:val="clear" w:color="auto" w:fill="E1DFDD"/>
    </w:rPr>
  </w:style>
  <w:style w:type="table" w:styleId="TableGrid">
    <w:name w:val="Table Grid"/>
    <w:basedOn w:val="TableNormal"/>
    <w:uiPriority w:val="39"/>
    <w:qFormat/>
    <w:rsid w:val="003B6540"/>
    <w:pPr>
      <w:spacing w:after="0" w:line="240" w:lineRule="auto"/>
    </w:pPr>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CC"/>
  </w:style>
  <w:style w:type="paragraph" w:styleId="Footer">
    <w:name w:val="footer"/>
    <w:basedOn w:val="Normal"/>
    <w:link w:val="FooterChar"/>
    <w:uiPriority w:val="99"/>
    <w:unhideWhenUsed/>
    <w:rsid w:val="00B66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CC"/>
  </w:style>
  <w:style w:type="paragraph" w:styleId="ListParagraph">
    <w:name w:val="List Paragraph"/>
    <w:basedOn w:val="Normal"/>
    <w:uiPriority w:val="34"/>
    <w:qFormat/>
    <w:rsid w:val="00DB0118"/>
    <w:pPr>
      <w:ind w:left="720"/>
      <w:contextualSpacing/>
    </w:pPr>
  </w:style>
  <w:style w:type="paragraph" w:customStyle="1" w:styleId="Default">
    <w:name w:val="Default"/>
    <w:rsid w:val="00E24085"/>
    <w:pPr>
      <w:autoSpaceDE w:val="0"/>
      <w:autoSpaceDN w:val="0"/>
      <w:adjustRightInd w:val="0"/>
      <w:spacing w:after="3" w:line="246" w:lineRule="auto"/>
      <w:ind w:firstLine="711"/>
      <w:jc w:val="both"/>
    </w:pPr>
    <w:rPr>
      <w:rFonts w:ascii="Times New Roman"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327499">
      <w:bodyDiv w:val="1"/>
      <w:marLeft w:val="0"/>
      <w:marRight w:val="0"/>
      <w:marTop w:val="0"/>
      <w:marBottom w:val="0"/>
      <w:divBdr>
        <w:top w:val="none" w:sz="0" w:space="0" w:color="auto"/>
        <w:left w:val="none" w:sz="0" w:space="0" w:color="auto"/>
        <w:bottom w:val="none" w:sz="0" w:space="0" w:color="auto"/>
        <w:right w:val="none" w:sz="0" w:space="0" w:color="auto"/>
      </w:divBdr>
    </w:div>
    <w:div w:id="815609008">
      <w:bodyDiv w:val="1"/>
      <w:marLeft w:val="0"/>
      <w:marRight w:val="0"/>
      <w:marTop w:val="0"/>
      <w:marBottom w:val="0"/>
      <w:divBdr>
        <w:top w:val="none" w:sz="0" w:space="0" w:color="auto"/>
        <w:left w:val="none" w:sz="0" w:space="0" w:color="auto"/>
        <w:bottom w:val="none" w:sz="0" w:space="0" w:color="auto"/>
        <w:right w:val="none" w:sz="0" w:space="0" w:color="auto"/>
      </w:divBdr>
    </w:div>
    <w:div w:id="903612129">
      <w:bodyDiv w:val="1"/>
      <w:marLeft w:val="0"/>
      <w:marRight w:val="0"/>
      <w:marTop w:val="0"/>
      <w:marBottom w:val="0"/>
      <w:divBdr>
        <w:top w:val="none" w:sz="0" w:space="0" w:color="auto"/>
        <w:left w:val="none" w:sz="0" w:space="0" w:color="auto"/>
        <w:bottom w:val="none" w:sz="0" w:space="0" w:color="auto"/>
        <w:right w:val="none" w:sz="0" w:space="0" w:color="auto"/>
      </w:divBdr>
    </w:div>
    <w:div w:id="158958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lkeriahensembiring@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919</TotalTime>
  <Pages>9</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Keriahen Sembiring</dc:creator>
  <cp:keywords/>
  <dc:description/>
  <cp:lastModifiedBy>Owner</cp:lastModifiedBy>
  <cp:revision>10</cp:revision>
  <dcterms:created xsi:type="dcterms:W3CDTF">2025-07-08T02:34:00Z</dcterms:created>
  <dcterms:modified xsi:type="dcterms:W3CDTF">2026-02-26T22:30:00Z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19502fe4-1490-4c0a-9f3e-6677b6afea29</vt:lpwstr>
  </property>
</Properties>
</file>