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05420" w14:textId="77777777" w:rsidR="00D46512" w:rsidRDefault="00381D52" w:rsidP="00974E07">
      <w:pPr>
        <w:tabs>
          <w:tab w:val="left" w:pos="851"/>
        </w:tabs>
        <w:spacing w:after="0" w:line="360" w:lineRule="auto"/>
        <w:jc w:val="center"/>
        <w:rPr>
          <w:rFonts w:ascii="Arial" w:hAnsi="Arial" w:cs="Arial"/>
          <w:b/>
          <w:sz w:val="28"/>
          <w:szCs w:val="28"/>
        </w:rPr>
      </w:pPr>
      <w:r w:rsidRPr="00D46512">
        <w:rPr>
          <w:rFonts w:ascii="Arial" w:hAnsi="Arial" w:cs="Arial"/>
          <w:b/>
          <w:sz w:val="28"/>
          <w:szCs w:val="28"/>
        </w:rPr>
        <w:t xml:space="preserve">KORELASI NILAI PROSES ROTASI KLINIK DENGAN KELULUSAN UJI KOMPETENSI MAHASISWA PROGRAM PROFESI </w:t>
      </w:r>
    </w:p>
    <w:p w14:paraId="4729BDB0" w14:textId="380848DF" w:rsidR="00381D52" w:rsidRPr="00D46512" w:rsidRDefault="00381D52" w:rsidP="00974E07">
      <w:pPr>
        <w:tabs>
          <w:tab w:val="left" w:pos="851"/>
        </w:tabs>
        <w:spacing w:after="0" w:line="360" w:lineRule="auto"/>
        <w:jc w:val="center"/>
        <w:rPr>
          <w:rFonts w:ascii="Arial" w:hAnsi="Arial" w:cs="Arial"/>
          <w:b/>
          <w:sz w:val="28"/>
          <w:szCs w:val="28"/>
        </w:rPr>
      </w:pPr>
      <w:r w:rsidRPr="00D46512">
        <w:rPr>
          <w:rFonts w:ascii="Arial" w:hAnsi="Arial" w:cs="Arial"/>
          <w:b/>
          <w:sz w:val="28"/>
          <w:szCs w:val="28"/>
        </w:rPr>
        <w:t xml:space="preserve">DOKTER (UKMPPD) </w:t>
      </w:r>
    </w:p>
    <w:p w14:paraId="275EDB96" w14:textId="778F412A" w:rsidR="000062C5" w:rsidRPr="007E1E6A" w:rsidRDefault="000062C5" w:rsidP="00974E07">
      <w:pPr>
        <w:tabs>
          <w:tab w:val="left" w:pos="851"/>
        </w:tabs>
        <w:spacing w:after="0" w:line="360" w:lineRule="auto"/>
        <w:jc w:val="center"/>
        <w:rPr>
          <w:rFonts w:ascii="Arial" w:hAnsi="Arial" w:cs="Arial"/>
          <w:b/>
          <w:vertAlign w:val="superscript"/>
        </w:rPr>
      </w:pPr>
      <w:r w:rsidRPr="00D46512">
        <w:rPr>
          <w:rFonts w:ascii="Arial" w:hAnsi="Arial" w:cs="Arial"/>
          <w:b/>
        </w:rPr>
        <w:t>Fuad Khadafianto</w:t>
      </w:r>
      <w:r w:rsidR="007E1E6A">
        <w:rPr>
          <w:rFonts w:ascii="Arial" w:hAnsi="Arial" w:cs="Arial"/>
          <w:b/>
          <w:vertAlign w:val="superscript"/>
        </w:rPr>
        <w:t>1</w:t>
      </w:r>
    </w:p>
    <w:p w14:paraId="7D1ACA60" w14:textId="4DC3DB33" w:rsidR="000062C5" w:rsidRPr="007E1E6A" w:rsidRDefault="007E1E6A" w:rsidP="00974E07">
      <w:pPr>
        <w:tabs>
          <w:tab w:val="left" w:pos="851"/>
        </w:tabs>
        <w:spacing w:after="0" w:line="360" w:lineRule="auto"/>
        <w:jc w:val="center"/>
        <w:rPr>
          <w:rFonts w:ascii="Arial" w:hAnsi="Arial" w:cs="Arial"/>
          <w:bCs/>
          <w:i/>
          <w:iCs/>
          <w:sz w:val="18"/>
          <w:szCs w:val="18"/>
        </w:rPr>
      </w:pPr>
      <w:r w:rsidRPr="007E1E6A">
        <w:rPr>
          <w:rFonts w:ascii="Arial" w:hAnsi="Arial" w:cs="Arial"/>
          <w:bCs/>
          <w:i/>
          <w:iCs/>
          <w:sz w:val="18"/>
          <w:szCs w:val="18"/>
          <w:vertAlign w:val="superscript"/>
        </w:rPr>
        <w:t>1</w:t>
      </w:r>
      <w:r w:rsidR="000062C5" w:rsidRPr="007E1E6A">
        <w:rPr>
          <w:rFonts w:ascii="Arial" w:hAnsi="Arial" w:cs="Arial"/>
          <w:bCs/>
          <w:i/>
          <w:iCs/>
          <w:sz w:val="18"/>
          <w:szCs w:val="18"/>
        </w:rPr>
        <w:t>Fakultas Ked</w:t>
      </w:r>
      <w:r w:rsidR="009C6B07" w:rsidRPr="007E1E6A">
        <w:rPr>
          <w:rFonts w:ascii="Arial" w:hAnsi="Arial" w:cs="Arial"/>
          <w:bCs/>
          <w:i/>
          <w:iCs/>
          <w:sz w:val="18"/>
          <w:szCs w:val="18"/>
          <w:lang w:val="id-ID"/>
        </w:rPr>
        <w:t>o</w:t>
      </w:r>
      <w:r w:rsidR="000062C5" w:rsidRPr="007E1E6A">
        <w:rPr>
          <w:rFonts w:ascii="Arial" w:hAnsi="Arial" w:cs="Arial"/>
          <w:bCs/>
          <w:i/>
          <w:iCs/>
          <w:sz w:val="18"/>
          <w:szCs w:val="18"/>
        </w:rPr>
        <w:t>kteran Universitas Islam Indonesia</w:t>
      </w:r>
    </w:p>
    <w:p w14:paraId="3848761F" w14:textId="3F76DF10" w:rsidR="00D46512" w:rsidRPr="007E1E6A" w:rsidRDefault="00D46512" w:rsidP="00974E07">
      <w:pPr>
        <w:tabs>
          <w:tab w:val="left" w:pos="851"/>
        </w:tabs>
        <w:spacing w:after="0" w:line="360" w:lineRule="auto"/>
        <w:jc w:val="center"/>
        <w:rPr>
          <w:rFonts w:ascii="Arial" w:hAnsi="Arial" w:cs="Arial"/>
          <w:bCs/>
          <w:i/>
          <w:iCs/>
          <w:sz w:val="18"/>
          <w:szCs w:val="18"/>
        </w:rPr>
      </w:pPr>
      <w:r w:rsidRPr="007E1E6A">
        <w:rPr>
          <w:rFonts w:ascii="Arial" w:hAnsi="Arial" w:cs="Arial"/>
          <w:bCs/>
          <w:i/>
          <w:iCs/>
          <w:sz w:val="18"/>
          <w:szCs w:val="18"/>
        </w:rPr>
        <w:t xml:space="preserve">Email: </w:t>
      </w:r>
      <w:hyperlink r:id="rId8" w:history="1">
        <w:r w:rsidR="007E1E6A" w:rsidRPr="00DE1643">
          <w:rPr>
            <w:rStyle w:val="Hyperlink"/>
            <w:rFonts w:ascii="Arial" w:hAnsi="Arial" w:cs="Arial"/>
            <w:bCs/>
            <w:i/>
            <w:iCs/>
            <w:sz w:val="18"/>
            <w:szCs w:val="18"/>
          </w:rPr>
          <w:t>fuad.khadafianto@uii.ac.id</w:t>
        </w:r>
      </w:hyperlink>
      <w:r w:rsidR="007E1E6A">
        <w:rPr>
          <w:rFonts w:ascii="Arial" w:hAnsi="Arial" w:cs="Arial"/>
          <w:bCs/>
          <w:i/>
          <w:iCs/>
          <w:sz w:val="18"/>
          <w:szCs w:val="18"/>
        </w:rPr>
        <w:t xml:space="preserve"> </w:t>
      </w:r>
    </w:p>
    <w:p w14:paraId="2F4EBC9D" w14:textId="77777777" w:rsidR="00D46512" w:rsidRDefault="00D46512" w:rsidP="00D46512">
      <w:pPr>
        <w:spacing w:after="0" w:line="240" w:lineRule="auto"/>
        <w:rPr>
          <w:rFonts w:ascii="Arial" w:hAnsi="Arial" w:cs="Arial"/>
          <w:i/>
          <w:sz w:val="20"/>
          <w:szCs w:val="20"/>
          <w:lang w:val="en-ID"/>
        </w:rPr>
      </w:pPr>
    </w:p>
    <w:p w14:paraId="6508F4BC" w14:textId="65F56E0C" w:rsidR="00D46512" w:rsidRPr="00D46512" w:rsidRDefault="00D46512" w:rsidP="00D46512">
      <w:pPr>
        <w:spacing w:after="0" w:line="360" w:lineRule="auto"/>
        <w:rPr>
          <w:rFonts w:ascii="Arial" w:hAnsi="Arial" w:cs="Arial"/>
          <w:b/>
          <w:bCs/>
          <w:i/>
          <w:sz w:val="20"/>
          <w:szCs w:val="20"/>
          <w:lang w:val="en-ID"/>
        </w:rPr>
      </w:pPr>
      <w:r w:rsidRPr="00D46512">
        <w:rPr>
          <w:rFonts w:ascii="Arial" w:hAnsi="Arial" w:cs="Arial"/>
          <w:b/>
          <w:bCs/>
          <w:i/>
          <w:sz w:val="20"/>
          <w:szCs w:val="20"/>
          <w:lang w:val="en-ID"/>
        </w:rPr>
        <w:t>ABSTRACT</w:t>
      </w:r>
    </w:p>
    <w:p w14:paraId="0F2ED75A" w14:textId="77777777" w:rsidR="00ED2481" w:rsidRDefault="00ED2481" w:rsidP="00D46512">
      <w:pPr>
        <w:spacing w:after="0" w:line="360" w:lineRule="auto"/>
        <w:jc w:val="both"/>
        <w:rPr>
          <w:rFonts w:ascii="Arial" w:hAnsi="Arial" w:cs="Arial"/>
          <w:sz w:val="18"/>
          <w:szCs w:val="18"/>
          <w:lang w:val="en-ID"/>
        </w:rPr>
      </w:pPr>
      <w:r w:rsidRPr="00ED2481">
        <w:rPr>
          <w:rFonts w:ascii="Arial" w:hAnsi="Arial" w:cs="Arial"/>
          <w:b/>
          <w:bCs/>
          <w:sz w:val="18"/>
          <w:szCs w:val="18"/>
          <w:lang w:val="en-ID"/>
        </w:rPr>
        <w:t>Background:</w:t>
      </w:r>
      <w:r>
        <w:rPr>
          <w:rFonts w:ascii="Arial" w:hAnsi="Arial" w:cs="Arial"/>
          <w:sz w:val="18"/>
          <w:szCs w:val="18"/>
          <w:lang w:val="en-ID"/>
        </w:rPr>
        <w:t xml:space="preserve"> </w:t>
      </w:r>
      <w:r w:rsidR="00D46512" w:rsidRPr="00D46512">
        <w:rPr>
          <w:rFonts w:ascii="Arial" w:hAnsi="Arial" w:cs="Arial"/>
          <w:sz w:val="18"/>
          <w:szCs w:val="18"/>
          <w:lang w:val="en-ID"/>
        </w:rPr>
        <w:t xml:space="preserve">Currently, medical education in Indonesia has a standard as a reference to assess competency for new medical doctor, namely standar kompetensi dokter Indonesia (SKDI). It is hoped that the clinical clerkship, the last educational process before taking national board examination, will be able to provide knowledge, skills and behavior for students before taking national board examination. This study intends to examine the relationship between each component of the scores for each stage of education at the clinical clerkship and passing national board examination. </w:t>
      </w:r>
    </w:p>
    <w:p w14:paraId="4FC358DA" w14:textId="77777777" w:rsidR="00ED2481" w:rsidRDefault="00ED2481" w:rsidP="00D46512">
      <w:pPr>
        <w:spacing w:after="0" w:line="360" w:lineRule="auto"/>
        <w:jc w:val="both"/>
        <w:rPr>
          <w:rFonts w:ascii="Arial" w:hAnsi="Arial" w:cs="Arial"/>
          <w:sz w:val="18"/>
          <w:szCs w:val="18"/>
          <w:lang w:val="en-ID"/>
        </w:rPr>
      </w:pPr>
      <w:r w:rsidRPr="00ED2481">
        <w:rPr>
          <w:rFonts w:ascii="Arial" w:hAnsi="Arial" w:cs="Arial"/>
          <w:b/>
          <w:bCs/>
          <w:sz w:val="18"/>
          <w:szCs w:val="18"/>
          <w:lang w:val="en-ID"/>
        </w:rPr>
        <w:t>Method:</w:t>
      </w:r>
      <w:r>
        <w:rPr>
          <w:rFonts w:ascii="Arial" w:hAnsi="Arial" w:cs="Arial"/>
          <w:sz w:val="18"/>
          <w:szCs w:val="18"/>
          <w:lang w:val="en-ID"/>
        </w:rPr>
        <w:t xml:space="preserve"> </w:t>
      </w:r>
      <w:r w:rsidR="00D46512" w:rsidRPr="00D46512">
        <w:rPr>
          <w:rFonts w:ascii="Arial" w:hAnsi="Arial" w:cs="Arial"/>
          <w:sz w:val="18"/>
          <w:szCs w:val="18"/>
          <w:lang w:val="en-ID"/>
        </w:rPr>
        <w:t xml:space="preserve">This method is quantitative observational with cross sectional approach. The subjects used were 135 students of the Faculty of Medicine, Islamic University of Indonesia in class of 2011 where the subjects already done national board examination and they were the first takers. </w:t>
      </w:r>
    </w:p>
    <w:p w14:paraId="23A1B12E" w14:textId="67066CEB" w:rsidR="00D46512" w:rsidRPr="00D46512" w:rsidRDefault="00ED2481" w:rsidP="00D46512">
      <w:pPr>
        <w:spacing w:after="0" w:line="360" w:lineRule="auto"/>
        <w:jc w:val="both"/>
        <w:rPr>
          <w:rFonts w:ascii="Arial" w:hAnsi="Arial" w:cs="Arial"/>
          <w:sz w:val="18"/>
          <w:szCs w:val="18"/>
          <w:lang w:val="en-ID"/>
        </w:rPr>
      </w:pPr>
      <w:r w:rsidRPr="00ED2481">
        <w:rPr>
          <w:rFonts w:ascii="Arial" w:hAnsi="Arial" w:cs="Arial"/>
          <w:b/>
          <w:bCs/>
          <w:sz w:val="18"/>
          <w:szCs w:val="18"/>
          <w:lang w:val="en-ID"/>
        </w:rPr>
        <w:t>Result:</w:t>
      </w:r>
      <w:r>
        <w:rPr>
          <w:rFonts w:ascii="Arial" w:hAnsi="Arial" w:cs="Arial"/>
          <w:sz w:val="18"/>
          <w:szCs w:val="18"/>
          <w:lang w:val="en-ID"/>
        </w:rPr>
        <w:t xml:space="preserve"> </w:t>
      </w:r>
      <w:r w:rsidR="00D46512" w:rsidRPr="00D46512">
        <w:rPr>
          <w:rFonts w:ascii="Arial" w:hAnsi="Arial" w:cs="Arial"/>
          <w:sz w:val="18"/>
          <w:szCs w:val="18"/>
          <w:lang w:val="en-ID"/>
        </w:rPr>
        <w:t>The results obtained from several aspects of the assessment of the clinical clerkship, written exams, OSLER, total score and minicex scores were related to the CBT score output (</w:t>
      </w:r>
      <w:r w:rsidR="00D46512" w:rsidRPr="00D46512">
        <w:rPr>
          <w:rFonts w:ascii="Arial" w:hAnsi="Arial" w:cs="Arial"/>
          <w:i/>
          <w:sz w:val="18"/>
          <w:szCs w:val="18"/>
          <w:lang w:val="en-ID"/>
        </w:rPr>
        <w:t>p</w:t>
      </w:r>
      <w:r w:rsidR="00D46512" w:rsidRPr="00D46512">
        <w:rPr>
          <w:rFonts w:ascii="Arial" w:hAnsi="Arial" w:cs="Arial"/>
          <w:sz w:val="18"/>
          <w:szCs w:val="18"/>
          <w:lang w:val="en-ID"/>
        </w:rPr>
        <w:t xml:space="preserve">=0.000; </w:t>
      </w:r>
      <w:r w:rsidR="00D46512" w:rsidRPr="00D46512">
        <w:rPr>
          <w:rFonts w:ascii="Arial" w:hAnsi="Arial" w:cs="Arial"/>
          <w:i/>
          <w:sz w:val="18"/>
          <w:szCs w:val="18"/>
          <w:lang w:val="en-ID"/>
        </w:rPr>
        <w:t>p</w:t>
      </w:r>
      <w:r w:rsidR="00D46512" w:rsidRPr="00D46512">
        <w:rPr>
          <w:rFonts w:ascii="Arial" w:hAnsi="Arial" w:cs="Arial"/>
          <w:sz w:val="18"/>
          <w:szCs w:val="18"/>
          <w:lang w:val="en-ID"/>
        </w:rPr>
        <w:t xml:space="preserve">=0.019; </w:t>
      </w:r>
      <w:r w:rsidR="00D46512" w:rsidRPr="00D46512">
        <w:rPr>
          <w:rFonts w:ascii="Arial" w:hAnsi="Arial" w:cs="Arial"/>
          <w:i/>
          <w:sz w:val="18"/>
          <w:szCs w:val="18"/>
          <w:lang w:val="en-ID"/>
        </w:rPr>
        <w:t>p</w:t>
      </w:r>
      <w:r w:rsidR="00D46512" w:rsidRPr="00D46512">
        <w:rPr>
          <w:rFonts w:ascii="Arial" w:hAnsi="Arial" w:cs="Arial"/>
          <w:sz w:val="18"/>
          <w:szCs w:val="18"/>
          <w:lang w:val="en-ID"/>
        </w:rPr>
        <w:t xml:space="preserve">=0.002; </w:t>
      </w:r>
      <w:r w:rsidR="00D46512" w:rsidRPr="00D46512">
        <w:rPr>
          <w:rFonts w:ascii="Arial" w:hAnsi="Arial" w:cs="Arial"/>
          <w:i/>
          <w:sz w:val="18"/>
          <w:szCs w:val="18"/>
          <w:lang w:val="en-ID"/>
        </w:rPr>
        <w:t>p</w:t>
      </w:r>
      <w:r w:rsidR="00D46512" w:rsidRPr="00D46512">
        <w:rPr>
          <w:rFonts w:ascii="Arial" w:hAnsi="Arial" w:cs="Arial"/>
          <w:sz w:val="18"/>
          <w:szCs w:val="18"/>
          <w:lang w:val="en-ID"/>
        </w:rPr>
        <w:t>=0.001) while written exam, OSLER, and total score related to the OSCE score output (</w:t>
      </w:r>
      <w:r w:rsidR="00D46512" w:rsidRPr="00D46512">
        <w:rPr>
          <w:rFonts w:ascii="Arial" w:hAnsi="Arial" w:cs="Arial"/>
          <w:i/>
          <w:sz w:val="18"/>
          <w:szCs w:val="18"/>
          <w:lang w:val="en-ID"/>
        </w:rPr>
        <w:t>p</w:t>
      </w:r>
      <w:r w:rsidR="00D46512" w:rsidRPr="00D46512">
        <w:rPr>
          <w:rFonts w:ascii="Arial" w:hAnsi="Arial" w:cs="Arial"/>
          <w:sz w:val="18"/>
          <w:szCs w:val="18"/>
          <w:lang w:val="en-ID"/>
        </w:rPr>
        <w:t xml:space="preserve">=0.000; </w:t>
      </w:r>
      <w:r w:rsidR="00D46512" w:rsidRPr="00D46512">
        <w:rPr>
          <w:rFonts w:ascii="Arial" w:hAnsi="Arial" w:cs="Arial"/>
          <w:i/>
          <w:sz w:val="18"/>
          <w:szCs w:val="18"/>
          <w:lang w:val="en-ID"/>
        </w:rPr>
        <w:t>p</w:t>
      </w:r>
      <w:r w:rsidR="00D46512" w:rsidRPr="00D46512">
        <w:rPr>
          <w:rFonts w:ascii="Arial" w:hAnsi="Arial" w:cs="Arial"/>
          <w:sz w:val="18"/>
          <w:szCs w:val="18"/>
          <w:lang w:val="en-ID"/>
        </w:rPr>
        <w:t xml:space="preserve">=0.000; </w:t>
      </w:r>
      <w:r w:rsidR="00D46512" w:rsidRPr="00D46512">
        <w:rPr>
          <w:rFonts w:ascii="Arial" w:hAnsi="Arial" w:cs="Arial"/>
          <w:i/>
          <w:sz w:val="18"/>
          <w:szCs w:val="18"/>
          <w:lang w:val="en-ID"/>
        </w:rPr>
        <w:t>p</w:t>
      </w:r>
      <w:r w:rsidR="00D46512" w:rsidRPr="00D46512">
        <w:rPr>
          <w:rFonts w:ascii="Arial" w:hAnsi="Arial" w:cs="Arial"/>
          <w:sz w:val="18"/>
          <w:szCs w:val="18"/>
          <w:lang w:val="en-ID"/>
        </w:rPr>
        <w:t>=0.000).</w:t>
      </w:r>
    </w:p>
    <w:p w14:paraId="0D17063C" w14:textId="77777777" w:rsidR="00D46512" w:rsidRPr="00D46512" w:rsidRDefault="00D46512" w:rsidP="00D46512">
      <w:pPr>
        <w:spacing w:after="0" w:line="360" w:lineRule="auto"/>
        <w:ind w:firstLine="720"/>
        <w:jc w:val="both"/>
        <w:rPr>
          <w:rFonts w:ascii="Arial" w:hAnsi="Arial" w:cs="Arial"/>
          <w:sz w:val="18"/>
          <w:szCs w:val="18"/>
          <w:lang w:val="en-ID"/>
        </w:rPr>
      </w:pPr>
    </w:p>
    <w:p w14:paraId="6A1F5957" w14:textId="138BAD96" w:rsidR="00D46512" w:rsidRPr="00D46512" w:rsidRDefault="00D46512" w:rsidP="00D46512">
      <w:pPr>
        <w:spacing w:after="0" w:line="360" w:lineRule="auto"/>
        <w:jc w:val="both"/>
        <w:rPr>
          <w:rFonts w:ascii="Arial" w:hAnsi="Arial" w:cs="Arial"/>
          <w:sz w:val="18"/>
          <w:szCs w:val="18"/>
          <w:lang w:val="en-ID"/>
        </w:rPr>
      </w:pPr>
      <w:r w:rsidRPr="00D46512">
        <w:rPr>
          <w:rFonts w:ascii="Arial" w:hAnsi="Arial" w:cs="Arial"/>
          <w:b/>
          <w:bCs/>
          <w:sz w:val="18"/>
          <w:szCs w:val="18"/>
          <w:lang w:val="en-ID"/>
        </w:rPr>
        <w:t>Key Words</w:t>
      </w:r>
      <w:r w:rsidRPr="00D46512">
        <w:rPr>
          <w:rFonts w:ascii="Arial" w:hAnsi="Arial" w:cs="Arial"/>
          <w:sz w:val="18"/>
          <w:szCs w:val="18"/>
          <w:lang w:val="en-ID"/>
        </w:rPr>
        <w:t xml:space="preserve">: Clinical clerkship, </w:t>
      </w:r>
      <w:r w:rsidRPr="00D46512">
        <w:rPr>
          <w:rFonts w:ascii="Arial" w:hAnsi="Arial" w:cs="Arial"/>
          <w:sz w:val="18"/>
          <w:szCs w:val="18"/>
          <w:lang w:val="id-ID"/>
        </w:rPr>
        <w:t xml:space="preserve">clinical rotation, </w:t>
      </w:r>
      <w:r w:rsidRPr="00D46512">
        <w:rPr>
          <w:rFonts w:ascii="Arial" w:hAnsi="Arial" w:cs="Arial"/>
          <w:sz w:val="18"/>
          <w:szCs w:val="18"/>
          <w:lang w:val="en-ID"/>
        </w:rPr>
        <w:t>National board examination.</w:t>
      </w:r>
    </w:p>
    <w:p w14:paraId="07D2D09F" w14:textId="77777777" w:rsidR="000062C5" w:rsidRPr="00D46512" w:rsidRDefault="000062C5" w:rsidP="00D46512">
      <w:pPr>
        <w:spacing w:after="0" w:line="240" w:lineRule="auto"/>
        <w:rPr>
          <w:rFonts w:ascii="Arial" w:hAnsi="Arial" w:cs="Arial"/>
          <w:sz w:val="20"/>
          <w:szCs w:val="20"/>
        </w:rPr>
      </w:pPr>
    </w:p>
    <w:p w14:paraId="3D9A0E19" w14:textId="39A0CE8D" w:rsidR="000062C5" w:rsidRPr="00D46512" w:rsidRDefault="00D46512" w:rsidP="00D46512">
      <w:pPr>
        <w:spacing w:after="0" w:line="360" w:lineRule="auto"/>
        <w:rPr>
          <w:rFonts w:ascii="Arial" w:hAnsi="Arial" w:cs="Arial"/>
          <w:b/>
          <w:bCs/>
          <w:sz w:val="20"/>
          <w:szCs w:val="20"/>
        </w:rPr>
      </w:pPr>
      <w:r w:rsidRPr="00D46512">
        <w:rPr>
          <w:rFonts w:ascii="Arial" w:hAnsi="Arial" w:cs="Arial"/>
          <w:b/>
          <w:bCs/>
          <w:sz w:val="20"/>
          <w:szCs w:val="20"/>
        </w:rPr>
        <w:t>ABSTRAK</w:t>
      </w:r>
    </w:p>
    <w:p w14:paraId="049C9DE4" w14:textId="77777777" w:rsidR="00ED2481" w:rsidRDefault="00ED2481" w:rsidP="00D46512">
      <w:pPr>
        <w:tabs>
          <w:tab w:val="left" w:pos="851"/>
        </w:tabs>
        <w:spacing w:after="0" w:line="360" w:lineRule="auto"/>
        <w:jc w:val="both"/>
        <w:rPr>
          <w:rFonts w:ascii="Arial" w:hAnsi="Arial" w:cs="Arial"/>
          <w:sz w:val="18"/>
          <w:szCs w:val="18"/>
        </w:rPr>
      </w:pPr>
      <w:r w:rsidRPr="00ED2481">
        <w:rPr>
          <w:rFonts w:ascii="Arial" w:hAnsi="Arial" w:cs="Arial"/>
          <w:b/>
          <w:bCs/>
          <w:sz w:val="18"/>
          <w:szCs w:val="18"/>
        </w:rPr>
        <w:t>Pendahuluan:</w:t>
      </w:r>
      <w:r>
        <w:rPr>
          <w:rFonts w:ascii="Arial" w:hAnsi="Arial" w:cs="Arial"/>
          <w:sz w:val="18"/>
          <w:szCs w:val="18"/>
        </w:rPr>
        <w:t xml:space="preserve"> </w:t>
      </w:r>
      <w:r w:rsidR="000062C5" w:rsidRPr="00D46512">
        <w:rPr>
          <w:rFonts w:ascii="Arial" w:hAnsi="Arial" w:cs="Arial"/>
          <w:sz w:val="18"/>
          <w:szCs w:val="18"/>
        </w:rPr>
        <w:t xml:space="preserve">Pendidikan dokter di Indonesia saat ini sudah memiliki standar kompetensi sebagai acuan kompetensi lulusan dokter berupa standar kompetensi dokter Indonesia (SKDI). Sebagai proses pendidikan yang paling akhir sebelum menempuh UKMPPD, pendidikan tahap profesi sangat diharapkan mampu memberikan bekal pengetahuan, keterampilan maupun perilaku bagi mahasiswa sebagai bekal untuk mengikuti UKMPPD. Penelitian ini bermaksud untuk mengkaji hubungan antara masing-masing komponen nilai tiap stase pendidikan tahap profesi dengan kelulusan UKMPPD. </w:t>
      </w:r>
    </w:p>
    <w:p w14:paraId="66C0446F" w14:textId="77777777" w:rsidR="00ED2481" w:rsidRDefault="00ED2481" w:rsidP="00D46512">
      <w:pPr>
        <w:tabs>
          <w:tab w:val="left" w:pos="851"/>
        </w:tabs>
        <w:spacing w:after="0" w:line="360" w:lineRule="auto"/>
        <w:jc w:val="both"/>
        <w:rPr>
          <w:rFonts w:ascii="Arial" w:hAnsi="Arial" w:cs="Arial"/>
          <w:sz w:val="18"/>
          <w:szCs w:val="18"/>
        </w:rPr>
      </w:pPr>
      <w:r w:rsidRPr="00ED2481">
        <w:rPr>
          <w:rFonts w:ascii="Arial" w:hAnsi="Arial" w:cs="Arial"/>
          <w:b/>
          <w:bCs/>
          <w:sz w:val="18"/>
          <w:szCs w:val="18"/>
        </w:rPr>
        <w:t>Metode:</w:t>
      </w:r>
      <w:r>
        <w:rPr>
          <w:rFonts w:ascii="Arial" w:hAnsi="Arial" w:cs="Arial"/>
          <w:sz w:val="18"/>
          <w:szCs w:val="18"/>
        </w:rPr>
        <w:t xml:space="preserve"> </w:t>
      </w:r>
      <w:r w:rsidR="000062C5" w:rsidRPr="00D46512">
        <w:rPr>
          <w:rFonts w:ascii="Arial" w:hAnsi="Arial" w:cs="Arial"/>
          <w:sz w:val="18"/>
          <w:szCs w:val="18"/>
        </w:rPr>
        <w:t xml:space="preserve">Metode </w:t>
      </w:r>
      <w:r w:rsidR="000062C5" w:rsidRPr="00D46512">
        <w:rPr>
          <w:rFonts w:ascii="Arial" w:hAnsi="Arial" w:cs="Arial"/>
          <w:sz w:val="18"/>
          <w:szCs w:val="18"/>
          <w:lang w:val="id-ID"/>
        </w:rPr>
        <w:t>penelitian</w:t>
      </w:r>
      <w:r w:rsidR="000062C5" w:rsidRPr="00D46512">
        <w:rPr>
          <w:rFonts w:ascii="Arial" w:hAnsi="Arial" w:cs="Arial"/>
          <w:sz w:val="18"/>
          <w:szCs w:val="18"/>
          <w:lang w:val="en-ID"/>
        </w:rPr>
        <w:t xml:space="preserve"> ini adalah</w:t>
      </w:r>
      <w:r w:rsidR="000062C5" w:rsidRPr="00D46512">
        <w:rPr>
          <w:rFonts w:ascii="Arial" w:hAnsi="Arial" w:cs="Arial"/>
          <w:sz w:val="18"/>
          <w:szCs w:val="18"/>
          <w:lang w:val="id-ID"/>
        </w:rPr>
        <w:t xml:space="preserve"> observasional kuantitatif </w:t>
      </w:r>
      <w:r w:rsidR="000062C5" w:rsidRPr="00D46512">
        <w:rPr>
          <w:rFonts w:ascii="Arial" w:hAnsi="Arial" w:cs="Arial"/>
          <w:sz w:val="18"/>
          <w:szCs w:val="18"/>
          <w:lang w:val="en-ID"/>
        </w:rPr>
        <w:t xml:space="preserve">dengan </w:t>
      </w:r>
      <w:r w:rsidR="000062C5" w:rsidRPr="00D46512">
        <w:rPr>
          <w:rFonts w:ascii="Arial" w:hAnsi="Arial" w:cs="Arial"/>
          <w:sz w:val="18"/>
          <w:szCs w:val="18"/>
          <w:lang w:val="id-ID"/>
        </w:rPr>
        <w:t xml:space="preserve">pendekatan </w:t>
      </w:r>
      <w:r w:rsidR="000062C5" w:rsidRPr="00D46512">
        <w:rPr>
          <w:rFonts w:ascii="Arial" w:hAnsi="Arial" w:cs="Arial"/>
          <w:i/>
          <w:sz w:val="18"/>
          <w:szCs w:val="18"/>
          <w:lang w:val="id-ID"/>
        </w:rPr>
        <w:t>cross sectional</w:t>
      </w:r>
      <w:r w:rsidR="000062C5" w:rsidRPr="00D46512">
        <w:rPr>
          <w:rFonts w:ascii="Arial" w:hAnsi="Arial" w:cs="Arial"/>
          <w:i/>
          <w:sz w:val="18"/>
          <w:szCs w:val="18"/>
          <w:lang w:val="en-ID"/>
        </w:rPr>
        <w:t xml:space="preserve">. </w:t>
      </w:r>
      <w:r w:rsidR="000062C5" w:rsidRPr="00D46512">
        <w:rPr>
          <w:rFonts w:ascii="Arial" w:hAnsi="Arial" w:cs="Arial"/>
          <w:sz w:val="18"/>
          <w:szCs w:val="18"/>
        </w:rPr>
        <w:t xml:space="preserve">Subjek yang digunakan adalah 135 mahasiswa Fakultas Kedokteran Universitas Islam Indonesia tahun angkatan 2011 dimana subjek sudah melaksanakan UKMPPD dan merupakan </w:t>
      </w:r>
      <w:r w:rsidR="000062C5" w:rsidRPr="00D46512">
        <w:rPr>
          <w:rFonts w:ascii="Arial" w:hAnsi="Arial" w:cs="Arial"/>
          <w:i/>
          <w:sz w:val="18"/>
          <w:szCs w:val="18"/>
        </w:rPr>
        <w:t>first taker</w:t>
      </w:r>
      <w:r w:rsidR="000062C5" w:rsidRPr="00D46512">
        <w:rPr>
          <w:rFonts w:ascii="Arial" w:hAnsi="Arial" w:cs="Arial"/>
          <w:sz w:val="18"/>
          <w:szCs w:val="18"/>
        </w:rPr>
        <w:t xml:space="preserve">. </w:t>
      </w:r>
    </w:p>
    <w:p w14:paraId="5A1BA09C" w14:textId="17CE7FE0" w:rsidR="000062C5" w:rsidRPr="00D46512" w:rsidRDefault="00ED2481" w:rsidP="00D46512">
      <w:pPr>
        <w:tabs>
          <w:tab w:val="left" w:pos="851"/>
        </w:tabs>
        <w:spacing w:after="0" w:line="360" w:lineRule="auto"/>
        <w:jc w:val="both"/>
        <w:rPr>
          <w:rFonts w:ascii="Arial" w:hAnsi="Arial" w:cs="Arial"/>
          <w:sz w:val="18"/>
          <w:szCs w:val="18"/>
        </w:rPr>
      </w:pPr>
      <w:r w:rsidRPr="00ED2481">
        <w:rPr>
          <w:rFonts w:ascii="Arial" w:hAnsi="Arial" w:cs="Arial"/>
          <w:b/>
          <w:bCs/>
          <w:sz w:val="18"/>
          <w:szCs w:val="18"/>
        </w:rPr>
        <w:t>Hasil :</w:t>
      </w:r>
      <w:r w:rsidR="000062C5" w:rsidRPr="00D46512">
        <w:rPr>
          <w:rFonts w:ascii="Arial" w:hAnsi="Arial" w:cs="Arial"/>
          <w:sz w:val="18"/>
          <w:szCs w:val="18"/>
        </w:rPr>
        <w:t>Hasil yang diperoleh dari beberapa aspek penilaian profesi dokter, Ujian tulis, OSLER, nilai total dan minicex berhubungan dengan luaran nilai CBT UKMPPD (</w:t>
      </w:r>
      <w:r w:rsidR="000062C5" w:rsidRPr="00D46512">
        <w:rPr>
          <w:rFonts w:ascii="Arial" w:hAnsi="Arial" w:cs="Arial"/>
          <w:i/>
          <w:sz w:val="18"/>
          <w:szCs w:val="18"/>
        </w:rPr>
        <w:t>p</w:t>
      </w:r>
      <w:r w:rsidR="000062C5" w:rsidRPr="00D46512">
        <w:rPr>
          <w:rFonts w:ascii="Arial" w:hAnsi="Arial" w:cs="Arial"/>
          <w:sz w:val="18"/>
          <w:szCs w:val="18"/>
        </w:rPr>
        <w:t>=0.000;</w:t>
      </w:r>
      <w:r w:rsidR="000062C5" w:rsidRPr="00D46512">
        <w:rPr>
          <w:rFonts w:ascii="Arial" w:hAnsi="Arial" w:cs="Arial"/>
          <w:i/>
          <w:sz w:val="18"/>
          <w:szCs w:val="18"/>
        </w:rPr>
        <w:t>p</w:t>
      </w:r>
      <w:r w:rsidR="000062C5" w:rsidRPr="00D46512">
        <w:rPr>
          <w:rFonts w:ascii="Arial" w:hAnsi="Arial" w:cs="Arial"/>
          <w:sz w:val="18"/>
          <w:szCs w:val="18"/>
        </w:rPr>
        <w:t>=0,019;</w:t>
      </w:r>
      <w:r w:rsidR="000062C5" w:rsidRPr="00D46512">
        <w:rPr>
          <w:rFonts w:ascii="Arial" w:hAnsi="Arial" w:cs="Arial"/>
          <w:i/>
          <w:sz w:val="18"/>
          <w:szCs w:val="18"/>
        </w:rPr>
        <w:t>p</w:t>
      </w:r>
      <w:r w:rsidR="000062C5" w:rsidRPr="00D46512">
        <w:rPr>
          <w:rFonts w:ascii="Arial" w:hAnsi="Arial" w:cs="Arial"/>
          <w:sz w:val="18"/>
          <w:szCs w:val="18"/>
        </w:rPr>
        <w:t>=0,002;</w:t>
      </w:r>
      <w:r w:rsidR="000062C5" w:rsidRPr="00D46512">
        <w:rPr>
          <w:rFonts w:ascii="Arial" w:hAnsi="Arial" w:cs="Arial"/>
          <w:i/>
          <w:sz w:val="18"/>
          <w:szCs w:val="18"/>
        </w:rPr>
        <w:t>p</w:t>
      </w:r>
      <w:r w:rsidR="000062C5" w:rsidRPr="00D46512">
        <w:rPr>
          <w:rFonts w:ascii="Arial" w:hAnsi="Arial" w:cs="Arial"/>
          <w:sz w:val="18"/>
          <w:szCs w:val="18"/>
        </w:rPr>
        <w:t>=0,001) sedangkan utul, OSLER, dan nilai total berhubungan dengan luaran nilai OSCE UKMPPD (</w:t>
      </w:r>
      <w:r w:rsidR="000062C5" w:rsidRPr="00D46512">
        <w:rPr>
          <w:rFonts w:ascii="Arial" w:hAnsi="Arial" w:cs="Arial"/>
          <w:i/>
          <w:sz w:val="18"/>
          <w:szCs w:val="18"/>
        </w:rPr>
        <w:t>p</w:t>
      </w:r>
      <w:r w:rsidR="000062C5" w:rsidRPr="00D46512">
        <w:rPr>
          <w:rFonts w:ascii="Arial" w:hAnsi="Arial" w:cs="Arial"/>
          <w:sz w:val="18"/>
          <w:szCs w:val="18"/>
        </w:rPr>
        <w:t xml:space="preserve">=0.000; </w:t>
      </w:r>
      <w:r w:rsidR="000062C5" w:rsidRPr="00D46512">
        <w:rPr>
          <w:rFonts w:ascii="Arial" w:hAnsi="Arial" w:cs="Arial"/>
          <w:i/>
          <w:sz w:val="18"/>
          <w:szCs w:val="18"/>
        </w:rPr>
        <w:t>p</w:t>
      </w:r>
      <w:r w:rsidR="000062C5" w:rsidRPr="00D46512">
        <w:rPr>
          <w:rFonts w:ascii="Arial" w:hAnsi="Arial" w:cs="Arial"/>
          <w:sz w:val="18"/>
          <w:szCs w:val="18"/>
        </w:rPr>
        <w:t xml:space="preserve">=0,000; </w:t>
      </w:r>
      <w:r w:rsidR="000062C5" w:rsidRPr="00D46512">
        <w:rPr>
          <w:rFonts w:ascii="Arial" w:hAnsi="Arial" w:cs="Arial"/>
          <w:i/>
          <w:sz w:val="18"/>
          <w:szCs w:val="18"/>
        </w:rPr>
        <w:t>p</w:t>
      </w:r>
      <w:r w:rsidR="000062C5" w:rsidRPr="00D46512">
        <w:rPr>
          <w:rFonts w:ascii="Arial" w:hAnsi="Arial" w:cs="Arial"/>
          <w:sz w:val="18"/>
          <w:szCs w:val="18"/>
        </w:rPr>
        <w:t>=0,000).</w:t>
      </w:r>
    </w:p>
    <w:p w14:paraId="24EE1068" w14:textId="77777777" w:rsidR="00D46512" w:rsidRDefault="00D46512" w:rsidP="00D46512">
      <w:pPr>
        <w:tabs>
          <w:tab w:val="left" w:pos="851"/>
        </w:tabs>
        <w:spacing w:after="0" w:line="360" w:lineRule="auto"/>
        <w:jc w:val="both"/>
        <w:rPr>
          <w:rFonts w:ascii="Arial" w:hAnsi="Arial" w:cs="Arial"/>
          <w:sz w:val="18"/>
          <w:szCs w:val="18"/>
        </w:rPr>
      </w:pPr>
    </w:p>
    <w:p w14:paraId="70ED5E1B" w14:textId="2ACD66D0" w:rsidR="000062C5" w:rsidRPr="00D46512" w:rsidRDefault="00804FF5" w:rsidP="00D46512">
      <w:pPr>
        <w:tabs>
          <w:tab w:val="left" w:pos="851"/>
        </w:tabs>
        <w:spacing w:after="0" w:line="360" w:lineRule="auto"/>
        <w:jc w:val="both"/>
        <w:rPr>
          <w:rFonts w:ascii="Arial" w:hAnsi="Arial" w:cs="Arial"/>
          <w:sz w:val="18"/>
          <w:szCs w:val="18"/>
        </w:rPr>
      </w:pPr>
      <w:r w:rsidRPr="00D46512">
        <w:rPr>
          <w:rFonts w:ascii="Arial" w:hAnsi="Arial" w:cs="Arial"/>
          <w:b/>
          <w:bCs/>
          <w:sz w:val="18"/>
          <w:szCs w:val="18"/>
        </w:rPr>
        <w:t>Kata kunci</w:t>
      </w:r>
      <w:r w:rsidR="000062C5" w:rsidRPr="00D46512">
        <w:rPr>
          <w:rFonts w:ascii="Arial" w:hAnsi="Arial" w:cs="Arial"/>
          <w:b/>
          <w:bCs/>
          <w:sz w:val="18"/>
          <w:szCs w:val="18"/>
        </w:rPr>
        <w:t>:</w:t>
      </w:r>
      <w:r w:rsidR="000062C5" w:rsidRPr="00D46512">
        <w:rPr>
          <w:rFonts w:ascii="Arial" w:hAnsi="Arial" w:cs="Arial"/>
          <w:sz w:val="18"/>
          <w:szCs w:val="18"/>
        </w:rPr>
        <w:t xml:space="preserve"> </w:t>
      </w:r>
      <w:r w:rsidRPr="00D46512">
        <w:rPr>
          <w:rFonts w:ascii="Arial" w:hAnsi="Arial" w:cs="Arial"/>
          <w:sz w:val="18"/>
          <w:szCs w:val="18"/>
        </w:rPr>
        <w:t>Pendidikan profesi, Ujian Kompetensi Mahasiswa Program Profesi Dokter (UKMPPD).</w:t>
      </w:r>
    </w:p>
    <w:p w14:paraId="4FBEF007" w14:textId="77777777" w:rsidR="00D46512" w:rsidRDefault="00D46512" w:rsidP="00D46512">
      <w:pPr>
        <w:pBdr>
          <w:bottom w:val="single" w:sz="4" w:space="1" w:color="auto"/>
        </w:pBdr>
        <w:tabs>
          <w:tab w:val="left" w:pos="851"/>
        </w:tabs>
        <w:spacing w:after="0" w:line="360" w:lineRule="auto"/>
        <w:rPr>
          <w:rFonts w:ascii="Arial" w:hAnsi="Arial" w:cs="Arial"/>
          <w:sz w:val="20"/>
          <w:szCs w:val="20"/>
        </w:rPr>
      </w:pPr>
    </w:p>
    <w:p w14:paraId="6784907A" w14:textId="5BF48C80" w:rsidR="00D46512" w:rsidRPr="00D46512" w:rsidRDefault="00D46512" w:rsidP="00D46512">
      <w:pPr>
        <w:pBdr>
          <w:bottom w:val="single" w:sz="4" w:space="1" w:color="auto"/>
        </w:pBdr>
        <w:tabs>
          <w:tab w:val="left" w:pos="851"/>
        </w:tabs>
        <w:spacing w:after="0" w:line="360" w:lineRule="auto"/>
        <w:rPr>
          <w:rFonts w:ascii="Arial" w:hAnsi="Arial" w:cs="Arial"/>
          <w:sz w:val="20"/>
          <w:szCs w:val="20"/>
        </w:rPr>
        <w:sectPr w:rsidR="00D46512" w:rsidRPr="00D46512" w:rsidSect="007E1E6A">
          <w:headerReference w:type="default" r:id="rId9"/>
          <w:footerReference w:type="even" r:id="rId10"/>
          <w:footerReference w:type="default" r:id="rId11"/>
          <w:pgSz w:w="11907" w:h="16840" w:code="9"/>
          <w:pgMar w:top="1440" w:right="1440" w:bottom="1440" w:left="1440" w:header="709" w:footer="709" w:gutter="0"/>
          <w:pgNumType w:start="141"/>
          <w:cols w:space="708"/>
          <w:titlePg/>
          <w:docGrid w:linePitch="360"/>
        </w:sectPr>
      </w:pPr>
    </w:p>
    <w:p w14:paraId="62FE0E3F" w14:textId="20408D97" w:rsidR="009C6B07" w:rsidRPr="00D46512" w:rsidRDefault="009C6B07" w:rsidP="00BF6CC6">
      <w:pPr>
        <w:tabs>
          <w:tab w:val="left" w:pos="851"/>
        </w:tabs>
        <w:spacing w:after="0" w:line="360" w:lineRule="auto"/>
        <w:rPr>
          <w:rFonts w:ascii="Arial" w:hAnsi="Arial" w:cs="Arial"/>
          <w:sz w:val="20"/>
          <w:szCs w:val="20"/>
        </w:rPr>
      </w:pPr>
    </w:p>
    <w:p w14:paraId="241B9721" w14:textId="77777777" w:rsidR="00D46512" w:rsidRDefault="00D46512">
      <w:pPr>
        <w:rPr>
          <w:rFonts w:ascii="Arial" w:hAnsi="Arial" w:cs="Arial"/>
          <w:sz w:val="20"/>
          <w:szCs w:val="20"/>
        </w:rPr>
      </w:pPr>
      <w:r>
        <w:rPr>
          <w:rFonts w:ascii="Arial" w:hAnsi="Arial" w:cs="Arial"/>
          <w:sz w:val="20"/>
          <w:szCs w:val="20"/>
        </w:rPr>
        <w:br w:type="page"/>
      </w:r>
    </w:p>
    <w:p w14:paraId="1965DFF1" w14:textId="7171D828" w:rsidR="00097182" w:rsidRPr="00D46512" w:rsidRDefault="00D46512" w:rsidP="00BF6CC6">
      <w:pPr>
        <w:tabs>
          <w:tab w:val="left" w:pos="851"/>
        </w:tabs>
        <w:spacing w:after="0" w:line="360" w:lineRule="auto"/>
        <w:rPr>
          <w:rFonts w:ascii="Arial" w:hAnsi="Arial" w:cs="Arial"/>
          <w:b/>
          <w:bCs/>
          <w:sz w:val="20"/>
          <w:szCs w:val="20"/>
        </w:rPr>
      </w:pPr>
      <w:r w:rsidRPr="00D46512">
        <w:rPr>
          <w:rFonts w:ascii="Arial" w:hAnsi="Arial" w:cs="Arial"/>
          <w:b/>
          <w:bCs/>
          <w:sz w:val="20"/>
          <w:szCs w:val="20"/>
        </w:rPr>
        <w:lastRenderedPageBreak/>
        <w:t>PENDAHULUAN</w:t>
      </w:r>
    </w:p>
    <w:p w14:paraId="744CD8F8" w14:textId="77777777" w:rsidR="004459A9" w:rsidRPr="00D46512" w:rsidRDefault="00BF6CC6" w:rsidP="00BF6CC6">
      <w:pPr>
        <w:tabs>
          <w:tab w:val="left" w:pos="851"/>
        </w:tabs>
        <w:spacing w:after="0" w:line="360" w:lineRule="auto"/>
        <w:jc w:val="both"/>
        <w:rPr>
          <w:rFonts w:ascii="Arial" w:hAnsi="Arial" w:cs="Arial"/>
          <w:sz w:val="20"/>
          <w:szCs w:val="20"/>
        </w:rPr>
      </w:pPr>
      <w:r w:rsidRPr="00D46512">
        <w:rPr>
          <w:rFonts w:ascii="Arial" w:hAnsi="Arial" w:cs="Arial"/>
          <w:color w:val="FF0000"/>
          <w:sz w:val="20"/>
          <w:szCs w:val="20"/>
        </w:rPr>
        <w:tab/>
      </w:r>
      <w:r w:rsidR="00381D52" w:rsidRPr="00D46512">
        <w:rPr>
          <w:rFonts w:ascii="Arial" w:hAnsi="Arial" w:cs="Arial"/>
          <w:sz w:val="20"/>
          <w:szCs w:val="20"/>
        </w:rPr>
        <w:t xml:space="preserve">Pendidikan dokter di Indonesia saat ini sudah memiliki standar kompetensi sebagai acuan kompetensi lulusan dokter berupa standar kompetensi dokter Indonesia (SKDI). Proses pendidikan dokter di Indonesia melalui 2 tahapan yaitu, tahap pendidikan sarjana kedokteran yang kemudian dilanjutkan ke tahap profesi (tahap pendidikan klinik). Pendidikan profesi dokter ini ditempuh oleh mahasiswa yang sudah dinyatakan lulus tahap pendidikan sarjana kedokteran. Pendidikan tahap profesi ini terdiri dari 13 stase (rotasi klinik) dan berjumlah 43 sks. Komponen yang nilai di setiap stase pendidikan profesi terdiri dari berbagai komponen meliputi mini-CEX, DOPS, tutorial klinik, </w:t>
      </w:r>
      <w:r w:rsidR="00381D52" w:rsidRPr="00D46512">
        <w:rPr>
          <w:rFonts w:ascii="Arial" w:hAnsi="Arial" w:cs="Arial"/>
          <w:i/>
          <w:sz w:val="20"/>
          <w:szCs w:val="20"/>
        </w:rPr>
        <w:t>jurnal reading</w:t>
      </w:r>
      <w:r w:rsidR="00381D52" w:rsidRPr="00D46512">
        <w:rPr>
          <w:rFonts w:ascii="Arial" w:hAnsi="Arial" w:cs="Arial"/>
          <w:sz w:val="20"/>
          <w:szCs w:val="20"/>
        </w:rPr>
        <w:t>, refleksi kasus, ujian tulis dan OSLER. Rerata berdasarkan persentase/bobot masing-masing nilai inilah kemudian menjadi nilai stase. Mahasiswa yang telah menyelesaikan semua stase pendidikan profesi (dengan syarat minimal B), akan di yudisium dan akan mengikuti UKMPPD. Komponen UKMPPD terdiri dari 2 (dua) jenis ujian yaitu ujian tulis berbasis computer (CBT UKMPPD) yang terdiri dari 200 soal MCQ dan ujian Objective Structural Clinical Examination (OSCE) yang terdiri dari 12 station. Sebagai proses pendidikan yang paling akhir sebelum menempuh UKMPPD, pendidikan tahap profesi sangat diharapkan mampu memberikan bekal pengetahuan, keterampilan maupun perilaku bagi mahasiswa sebagai bekal untuk mengikuti UKMPPD. Penelitian ini bermaksud untuk mengkaji hubungan antara masing-masing komponen nilai tiap stase pendidikan tahap profesi dengan kelulusan UKMPPD.</w:t>
      </w:r>
    </w:p>
    <w:p w14:paraId="432C99AE" w14:textId="77777777" w:rsidR="004459A9" w:rsidRPr="00D46512" w:rsidRDefault="004459A9" w:rsidP="00BF6CC6">
      <w:pPr>
        <w:tabs>
          <w:tab w:val="left" w:pos="851"/>
        </w:tabs>
        <w:spacing w:after="0" w:line="360" w:lineRule="auto"/>
        <w:jc w:val="both"/>
        <w:rPr>
          <w:rFonts w:ascii="Arial" w:hAnsi="Arial" w:cs="Arial"/>
          <w:sz w:val="20"/>
          <w:szCs w:val="20"/>
        </w:rPr>
      </w:pPr>
      <w:r w:rsidRPr="00D46512">
        <w:rPr>
          <w:rFonts w:ascii="Arial" w:hAnsi="Arial" w:cs="Arial"/>
          <w:sz w:val="20"/>
          <w:szCs w:val="20"/>
        </w:rPr>
        <w:t>Metode Penelitian</w:t>
      </w:r>
    </w:p>
    <w:p w14:paraId="21107E28" w14:textId="77777777" w:rsidR="004459A9" w:rsidRPr="00D46512" w:rsidRDefault="00BF6CC6" w:rsidP="00D46512">
      <w:pPr>
        <w:tabs>
          <w:tab w:val="left" w:pos="426"/>
        </w:tabs>
        <w:spacing w:after="0" w:line="360" w:lineRule="auto"/>
        <w:jc w:val="both"/>
        <w:rPr>
          <w:rFonts w:ascii="Arial" w:hAnsi="Arial" w:cs="Arial"/>
          <w:sz w:val="20"/>
          <w:szCs w:val="20"/>
        </w:rPr>
      </w:pPr>
      <w:r w:rsidRPr="00D46512">
        <w:rPr>
          <w:rFonts w:ascii="Arial" w:hAnsi="Arial" w:cs="Arial"/>
          <w:sz w:val="20"/>
          <w:szCs w:val="20"/>
        </w:rPr>
        <w:tab/>
      </w:r>
      <w:r w:rsidR="004459A9" w:rsidRPr="00D46512">
        <w:rPr>
          <w:rFonts w:ascii="Arial" w:hAnsi="Arial" w:cs="Arial"/>
          <w:sz w:val="20"/>
          <w:szCs w:val="20"/>
        </w:rPr>
        <w:t xml:space="preserve">Jenis dan desain penelitian yang digunakan yaitu </w:t>
      </w:r>
      <w:r w:rsidR="004459A9" w:rsidRPr="00D46512">
        <w:rPr>
          <w:rFonts w:ascii="Arial" w:hAnsi="Arial" w:cs="Arial"/>
          <w:sz w:val="20"/>
          <w:szCs w:val="20"/>
          <w:lang w:val="id-ID"/>
        </w:rPr>
        <w:t xml:space="preserve">penelitian observasional kuantitatif pendekatan </w:t>
      </w:r>
      <w:r w:rsidR="004459A9" w:rsidRPr="00D46512">
        <w:rPr>
          <w:rFonts w:ascii="Arial" w:hAnsi="Arial" w:cs="Arial"/>
          <w:i/>
          <w:sz w:val="20"/>
          <w:szCs w:val="20"/>
          <w:lang w:val="id-ID"/>
        </w:rPr>
        <w:t>cross sectional</w:t>
      </w:r>
      <w:r w:rsidR="004459A9" w:rsidRPr="00D46512">
        <w:rPr>
          <w:rFonts w:ascii="Arial" w:hAnsi="Arial" w:cs="Arial"/>
          <w:sz w:val="20"/>
          <w:szCs w:val="20"/>
          <w:lang w:val="id-ID"/>
        </w:rPr>
        <w:t xml:space="preserve"> dengan metode analisis </w:t>
      </w:r>
      <w:r w:rsidR="004459A9" w:rsidRPr="00D46512">
        <w:rPr>
          <w:rFonts w:ascii="Arial" w:hAnsi="Arial" w:cs="Arial"/>
          <w:sz w:val="20"/>
          <w:szCs w:val="20"/>
        </w:rPr>
        <w:t xml:space="preserve">regresi logistik. Penelitian dilaksanakan di </w:t>
      </w:r>
      <w:r w:rsidR="006C4B50" w:rsidRPr="00D46512">
        <w:rPr>
          <w:rFonts w:ascii="Arial" w:hAnsi="Arial" w:cs="Arial"/>
          <w:sz w:val="20"/>
          <w:szCs w:val="20"/>
        </w:rPr>
        <w:t>Fakultas K</w:t>
      </w:r>
      <w:r w:rsidR="004459A9" w:rsidRPr="00D46512">
        <w:rPr>
          <w:rFonts w:ascii="Arial" w:hAnsi="Arial" w:cs="Arial"/>
          <w:sz w:val="20"/>
          <w:szCs w:val="20"/>
        </w:rPr>
        <w:t xml:space="preserve">edokteran Universitas Islam Indonesia pada bulan Januari </w:t>
      </w:r>
      <w:r w:rsidR="006C4B50" w:rsidRPr="00D46512">
        <w:rPr>
          <w:rFonts w:ascii="Arial" w:hAnsi="Arial" w:cs="Arial"/>
          <w:sz w:val="20"/>
          <w:szCs w:val="20"/>
        </w:rPr>
        <w:t>hingga</w:t>
      </w:r>
      <w:r w:rsidR="004459A9" w:rsidRPr="00D46512">
        <w:rPr>
          <w:rFonts w:ascii="Arial" w:hAnsi="Arial" w:cs="Arial"/>
          <w:sz w:val="20"/>
          <w:szCs w:val="20"/>
        </w:rPr>
        <w:t xml:space="preserve"> Februari 2019. Subjek yang digunakan adalah</w:t>
      </w:r>
      <w:r w:rsidR="006C4B50" w:rsidRPr="00D46512">
        <w:rPr>
          <w:rFonts w:ascii="Arial" w:hAnsi="Arial" w:cs="Arial"/>
          <w:sz w:val="20"/>
          <w:szCs w:val="20"/>
        </w:rPr>
        <w:t xml:space="preserve"> 135</w:t>
      </w:r>
      <w:r w:rsidR="004459A9" w:rsidRPr="00D46512">
        <w:rPr>
          <w:rFonts w:ascii="Arial" w:hAnsi="Arial" w:cs="Arial"/>
          <w:sz w:val="20"/>
          <w:szCs w:val="20"/>
        </w:rPr>
        <w:t xml:space="preserve"> mahasiswa Fakultas Kedokteran Universitas Islam Indonesia </w:t>
      </w:r>
      <w:r w:rsidR="006C4B50" w:rsidRPr="00D46512">
        <w:rPr>
          <w:rFonts w:ascii="Arial" w:hAnsi="Arial" w:cs="Arial"/>
          <w:sz w:val="20"/>
          <w:szCs w:val="20"/>
        </w:rPr>
        <w:t xml:space="preserve">tahun </w:t>
      </w:r>
      <w:r w:rsidR="004459A9" w:rsidRPr="00D46512">
        <w:rPr>
          <w:rFonts w:ascii="Arial" w:hAnsi="Arial" w:cs="Arial"/>
          <w:sz w:val="20"/>
          <w:szCs w:val="20"/>
        </w:rPr>
        <w:t xml:space="preserve">angkatan 2011 dimana </w:t>
      </w:r>
      <w:r w:rsidR="006C4B50" w:rsidRPr="00D46512">
        <w:rPr>
          <w:rFonts w:ascii="Arial" w:hAnsi="Arial" w:cs="Arial"/>
          <w:sz w:val="20"/>
          <w:szCs w:val="20"/>
        </w:rPr>
        <w:t xml:space="preserve">subjek </w:t>
      </w:r>
      <w:r w:rsidR="004459A9" w:rsidRPr="00D46512">
        <w:rPr>
          <w:rFonts w:ascii="Arial" w:hAnsi="Arial" w:cs="Arial"/>
          <w:sz w:val="20"/>
          <w:szCs w:val="20"/>
        </w:rPr>
        <w:t xml:space="preserve">sudah melaksanakan UKMPPD dan merupakan </w:t>
      </w:r>
      <w:r w:rsidR="004459A9" w:rsidRPr="00D46512">
        <w:rPr>
          <w:rFonts w:ascii="Arial" w:hAnsi="Arial" w:cs="Arial"/>
          <w:i/>
          <w:sz w:val="20"/>
          <w:szCs w:val="20"/>
        </w:rPr>
        <w:t>first taker.</w:t>
      </w:r>
      <w:r w:rsidR="006C4B50" w:rsidRPr="00D46512">
        <w:rPr>
          <w:rFonts w:ascii="Arial" w:hAnsi="Arial" w:cs="Arial"/>
          <w:sz w:val="20"/>
          <w:szCs w:val="20"/>
        </w:rPr>
        <w:t xml:space="preserve"> Data hasil penelitian dianalisis menggunakan aplikasi IBM SPSS versi 23.</w:t>
      </w:r>
    </w:p>
    <w:p w14:paraId="10C4851F" w14:textId="77777777" w:rsidR="00BF6CC6" w:rsidRPr="00D46512" w:rsidRDefault="00BF6CC6" w:rsidP="000062C5">
      <w:pPr>
        <w:tabs>
          <w:tab w:val="left" w:pos="851"/>
        </w:tabs>
        <w:spacing w:after="0" w:line="360" w:lineRule="auto"/>
        <w:jc w:val="both"/>
        <w:rPr>
          <w:rFonts w:ascii="Arial" w:hAnsi="Arial" w:cs="Arial"/>
          <w:sz w:val="20"/>
          <w:szCs w:val="20"/>
          <w:lang w:val="id-ID"/>
        </w:rPr>
      </w:pPr>
      <w:r w:rsidRPr="00D46512">
        <w:rPr>
          <w:rFonts w:ascii="Arial" w:hAnsi="Arial" w:cs="Arial"/>
          <w:sz w:val="20"/>
          <w:szCs w:val="20"/>
        </w:rPr>
        <w:tab/>
      </w:r>
      <w:r w:rsidR="006C4B50" w:rsidRPr="00D46512">
        <w:rPr>
          <w:rFonts w:ascii="Arial" w:hAnsi="Arial" w:cs="Arial"/>
          <w:sz w:val="20"/>
          <w:szCs w:val="20"/>
        </w:rPr>
        <w:t xml:space="preserve">Sebelum dilakukan penelitian, subjek diberikan lembar </w:t>
      </w:r>
      <w:r w:rsidR="006C4B50" w:rsidRPr="00D46512">
        <w:rPr>
          <w:rFonts w:ascii="Arial" w:hAnsi="Arial" w:cs="Arial"/>
          <w:i/>
          <w:sz w:val="20"/>
          <w:szCs w:val="20"/>
        </w:rPr>
        <w:t>inform concent</w:t>
      </w:r>
      <w:r w:rsidR="006C4B50" w:rsidRPr="00D46512">
        <w:rPr>
          <w:rFonts w:ascii="Arial" w:hAnsi="Arial" w:cs="Arial"/>
          <w:sz w:val="20"/>
          <w:szCs w:val="20"/>
        </w:rPr>
        <w:t xml:space="preserve">. Penelitian ini sudah mendapatkan izin dari komite etik Fakultas Kedokteran Universitas Islam Indonesia </w:t>
      </w:r>
      <w:r w:rsidR="006C4B50" w:rsidRPr="00D46512">
        <w:rPr>
          <w:rFonts w:ascii="Arial" w:hAnsi="Arial" w:cs="Arial"/>
          <w:sz w:val="20"/>
          <w:szCs w:val="20"/>
          <w:lang w:val="id-ID"/>
        </w:rPr>
        <w:t>28/Ka.Kom.Et/70/KE/V/2019</w:t>
      </w:r>
    </w:p>
    <w:p w14:paraId="4F474045" w14:textId="77777777" w:rsidR="00D46512" w:rsidRDefault="00D46512" w:rsidP="00BF6CC6">
      <w:pPr>
        <w:tabs>
          <w:tab w:val="left" w:pos="851"/>
        </w:tabs>
        <w:spacing w:after="0" w:line="360" w:lineRule="auto"/>
        <w:jc w:val="both"/>
        <w:rPr>
          <w:rFonts w:ascii="Arial" w:hAnsi="Arial" w:cs="Arial"/>
          <w:sz w:val="20"/>
          <w:szCs w:val="20"/>
          <w:lang w:val="en-ID"/>
        </w:rPr>
      </w:pPr>
    </w:p>
    <w:p w14:paraId="5E33BFC4" w14:textId="7B38599B" w:rsidR="004E52C5" w:rsidRPr="00D46512" w:rsidRDefault="00D46512" w:rsidP="00BF6CC6">
      <w:pPr>
        <w:tabs>
          <w:tab w:val="left" w:pos="851"/>
        </w:tabs>
        <w:spacing w:after="0" w:line="360" w:lineRule="auto"/>
        <w:jc w:val="both"/>
        <w:rPr>
          <w:rFonts w:ascii="Arial" w:hAnsi="Arial" w:cs="Arial"/>
          <w:b/>
          <w:bCs/>
          <w:sz w:val="20"/>
          <w:szCs w:val="20"/>
          <w:lang w:val="en-ID"/>
        </w:rPr>
      </w:pPr>
      <w:r w:rsidRPr="00D46512">
        <w:rPr>
          <w:rFonts w:ascii="Arial" w:hAnsi="Arial" w:cs="Arial"/>
          <w:b/>
          <w:bCs/>
          <w:sz w:val="20"/>
          <w:szCs w:val="20"/>
          <w:lang w:val="en-ID"/>
        </w:rPr>
        <w:t>HASIL PENELITIAN</w:t>
      </w:r>
    </w:p>
    <w:p w14:paraId="0250A350" w14:textId="77777777" w:rsidR="004459A9" w:rsidRPr="00D46512" w:rsidRDefault="00BF6CC6" w:rsidP="00BF6CC6">
      <w:pPr>
        <w:tabs>
          <w:tab w:val="left" w:pos="851"/>
        </w:tabs>
        <w:spacing w:after="0" w:line="360" w:lineRule="auto"/>
        <w:jc w:val="both"/>
        <w:rPr>
          <w:rFonts w:ascii="Arial" w:hAnsi="Arial" w:cs="Arial"/>
          <w:sz w:val="20"/>
          <w:szCs w:val="20"/>
          <w:lang w:val="en-ID"/>
        </w:rPr>
      </w:pPr>
      <w:r w:rsidRPr="00D46512">
        <w:rPr>
          <w:rFonts w:ascii="Arial" w:hAnsi="Arial" w:cs="Arial"/>
          <w:sz w:val="20"/>
          <w:szCs w:val="20"/>
          <w:lang w:val="id-ID"/>
        </w:rPr>
        <w:tab/>
      </w:r>
      <w:r w:rsidR="004E52C5" w:rsidRPr="00D46512">
        <w:rPr>
          <w:rFonts w:ascii="Arial" w:hAnsi="Arial" w:cs="Arial"/>
          <w:sz w:val="20"/>
          <w:szCs w:val="20"/>
          <w:lang w:val="id-ID"/>
        </w:rPr>
        <w:t>Penelitian ini dilakukan dengan menggunakan data nilai proses pendidikan klinik yang dikumpulkan dari sekretariat pendidikan klinik FK UII dan data UKMPPD dari admin UKMPPD FK UII. Dari 135 mahasiswa angkatan 2011 yang merupakan data awal yang direncanakan akan dianalisis, hanya sejumlah 103 data yang berhasil dikumpulkan secara lengkap, baik data proses pembelajaran klinik maupun nilai UKMPPD, sedangkan sebanyak 32 data mahasiswa yang lain tidak dianalisis dikarenakan ketidaklengkapan data, atau mahasiswa tersebut tidak melanjutkan proses pendidikan, atau belum menempuh UKMPPD.</w:t>
      </w:r>
      <w:r w:rsidR="004E52C5" w:rsidRPr="00D46512">
        <w:rPr>
          <w:rFonts w:ascii="Arial" w:hAnsi="Arial" w:cs="Arial"/>
          <w:sz w:val="20"/>
          <w:szCs w:val="20"/>
          <w:lang w:val="en-ID"/>
        </w:rPr>
        <w:t xml:space="preserve"> </w:t>
      </w:r>
      <w:r w:rsidR="004E52C5" w:rsidRPr="00D46512">
        <w:rPr>
          <w:rFonts w:ascii="Arial" w:hAnsi="Arial" w:cs="Arial"/>
          <w:sz w:val="20"/>
          <w:szCs w:val="20"/>
          <w:lang w:val="id-ID"/>
        </w:rPr>
        <w:t>Dari 103 data yang dikumpulkan, sebanyak 3 data memiliki nilai ekstrim sehingga dikeluarkan dari proses analisis, sehingga total data yang di analisis sebanyak 100 data mahasiswa</w:t>
      </w:r>
      <w:r w:rsidR="004E52C5" w:rsidRPr="00D46512">
        <w:rPr>
          <w:rFonts w:ascii="Arial" w:hAnsi="Arial" w:cs="Arial"/>
          <w:sz w:val="20"/>
          <w:szCs w:val="20"/>
          <w:lang w:val="en-ID"/>
        </w:rPr>
        <w:t>.</w:t>
      </w:r>
    </w:p>
    <w:p w14:paraId="6A95F71F" w14:textId="77777777" w:rsidR="00343878" w:rsidRPr="00D46512" w:rsidRDefault="00BF6CC6" w:rsidP="00BF6CC6">
      <w:pPr>
        <w:tabs>
          <w:tab w:val="left" w:pos="851"/>
        </w:tabs>
        <w:spacing w:after="120" w:line="360" w:lineRule="auto"/>
        <w:jc w:val="both"/>
        <w:rPr>
          <w:rFonts w:ascii="Arial" w:hAnsi="Arial" w:cs="Arial"/>
          <w:sz w:val="20"/>
          <w:szCs w:val="20"/>
          <w:lang w:val="id-ID"/>
        </w:rPr>
      </w:pPr>
      <w:r w:rsidRPr="00D46512">
        <w:rPr>
          <w:rFonts w:ascii="Arial" w:hAnsi="Arial" w:cs="Arial"/>
          <w:sz w:val="20"/>
          <w:szCs w:val="20"/>
          <w:lang w:val="id-ID"/>
        </w:rPr>
        <w:lastRenderedPageBreak/>
        <w:tab/>
      </w:r>
      <w:r w:rsidR="00343878" w:rsidRPr="00D46512">
        <w:rPr>
          <w:rFonts w:ascii="Arial" w:hAnsi="Arial" w:cs="Arial"/>
          <w:sz w:val="20"/>
          <w:szCs w:val="20"/>
          <w:lang w:val="id-ID"/>
        </w:rPr>
        <w:t xml:space="preserve">Dari enam data variabel bebas nilai proses pendidikan klinik (Mini-CEX, DOPS, Tutorial klinik, </w:t>
      </w:r>
      <w:r w:rsidR="00343878" w:rsidRPr="00D46512">
        <w:rPr>
          <w:rFonts w:ascii="Arial" w:hAnsi="Arial" w:cs="Arial"/>
          <w:i/>
          <w:iCs/>
          <w:sz w:val="20"/>
          <w:szCs w:val="20"/>
          <w:lang w:val="id-ID"/>
        </w:rPr>
        <w:t>jurnal reading</w:t>
      </w:r>
      <w:r w:rsidR="00343878" w:rsidRPr="00D46512">
        <w:rPr>
          <w:rFonts w:ascii="Arial" w:hAnsi="Arial" w:cs="Arial"/>
          <w:sz w:val="20"/>
          <w:szCs w:val="20"/>
          <w:lang w:val="id-ID"/>
        </w:rPr>
        <w:t xml:space="preserve">, ujian tulis dan OSLER), terdapat 2 variabel bebas yang tidak dilakukan analisis regresi logistik, dikarenakan data kedua variabel tersebut tidak memenuhi </w:t>
      </w:r>
      <w:r w:rsidR="00343878" w:rsidRPr="00D46512">
        <w:rPr>
          <w:rFonts w:ascii="Arial" w:hAnsi="Arial" w:cs="Arial"/>
          <w:sz w:val="20"/>
          <w:szCs w:val="20"/>
          <w:lang w:val="id-ID"/>
        </w:rPr>
        <w:t xml:space="preserve">persyaratan distribusi normal yaitu DOPS dan </w:t>
      </w:r>
      <w:r w:rsidR="00343878" w:rsidRPr="00D46512">
        <w:rPr>
          <w:rFonts w:ascii="Arial" w:hAnsi="Arial" w:cs="Arial"/>
          <w:i/>
          <w:iCs/>
          <w:sz w:val="20"/>
          <w:szCs w:val="20"/>
          <w:lang w:val="id-ID"/>
        </w:rPr>
        <w:t>jurnal reading</w:t>
      </w:r>
      <w:r w:rsidR="00343878" w:rsidRPr="00D46512">
        <w:rPr>
          <w:rFonts w:ascii="Arial" w:hAnsi="Arial" w:cs="Arial"/>
          <w:sz w:val="20"/>
          <w:szCs w:val="20"/>
          <w:lang w:val="id-ID"/>
        </w:rPr>
        <w:t>. Peneliti menambahkan satu variabel bebas lagi yaitu nilai total proses pendidikan klinik untuk melengkapi proses analisis.</w:t>
      </w:r>
    </w:p>
    <w:p w14:paraId="08226D1E" w14:textId="77777777" w:rsidR="00D46512" w:rsidRDefault="00D46512" w:rsidP="00BF6CC6">
      <w:pPr>
        <w:tabs>
          <w:tab w:val="left" w:pos="851"/>
        </w:tabs>
        <w:spacing w:after="0" w:line="360" w:lineRule="auto"/>
        <w:jc w:val="center"/>
        <w:rPr>
          <w:rFonts w:ascii="Arial" w:hAnsi="Arial" w:cs="Arial"/>
          <w:sz w:val="20"/>
          <w:szCs w:val="20"/>
          <w:lang w:val="id-ID"/>
        </w:rPr>
        <w:sectPr w:rsidR="00D46512" w:rsidSect="009C6B07">
          <w:type w:val="continuous"/>
          <w:pgSz w:w="11907" w:h="16840" w:code="9"/>
          <w:pgMar w:top="1440" w:right="1440" w:bottom="1440" w:left="1440" w:header="709" w:footer="709" w:gutter="0"/>
          <w:cols w:num="2" w:space="708"/>
          <w:docGrid w:linePitch="360"/>
        </w:sectPr>
      </w:pPr>
    </w:p>
    <w:p w14:paraId="16364FE9" w14:textId="377E6CD8" w:rsidR="00343878" w:rsidRPr="00D46512" w:rsidRDefault="00343878" w:rsidP="00BF6CC6">
      <w:pPr>
        <w:tabs>
          <w:tab w:val="left" w:pos="851"/>
        </w:tabs>
        <w:spacing w:after="0" w:line="360" w:lineRule="auto"/>
        <w:jc w:val="center"/>
        <w:rPr>
          <w:rFonts w:ascii="Arial" w:hAnsi="Arial" w:cs="Arial"/>
          <w:sz w:val="20"/>
          <w:szCs w:val="20"/>
          <w:lang w:val="id-ID"/>
        </w:rPr>
      </w:pPr>
      <w:r w:rsidRPr="00D46512">
        <w:rPr>
          <w:rFonts w:ascii="Arial" w:hAnsi="Arial" w:cs="Arial"/>
          <w:b/>
          <w:bCs/>
          <w:sz w:val="20"/>
          <w:szCs w:val="20"/>
          <w:lang w:val="id-ID"/>
        </w:rPr>
        <w:t>Tabel 1.</w:t>
      </w:r>
      <w:r w:rsidRPr="00D46512">
        <w:rPr>
          <w:rFonts w:ascii="Arial" w:hAnsi="Arial" w:cs="Arial"/>
          <w:sz w:val="20"/>
          <w:szCs w:val="20"/>
          <w:lang w:val="id-ID"/>
        </w:rPr>
        <w:t xml:space="preserve"> Hasil regresi logistik</w:t>
      </w:r>
    </w:p>
    <w:tbl>
      <w:tblPr>
        <w:tblStyle w:val="TabelBiasa2"/>
        <w:tblW w:w="6521" w:type="dxa"/>
        <w:jc w:val="center"/>
        <w:tblLook w:val="04A0" w:firstRow="1" w:lastRow="0" w:firstColumn="1" w:lastColumn="0" w:noHBand="0" w:noVBand="1"/>
      </w:tblPr>
      <w:tblGrid>
        <w:gridCol w:w="629"/>
        <w:gridCol w:w="1639"/>
        <w:gridCol w:w="1701"/>
        <w:gridCol w:w="851"/>
        <w:gridCol w:w="1701"/>
      </w:tblGrid>
      <w:tr w:rsidR="00D46512" w:rsidRPr="00D46512" w14:paraId="090E7E03" w14:textId="77777777" w:rsidTr="00D46512">
        <w:trPr>
          <w:cnfStyle w:val="100000000000" w:firstRow="1" w:lastRow="0" w:firstColumn="0" w:lastColumn="0" w:oddVBand="0" w:evenVBand="0" w:oddHBand="0"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629" w:type="dxa"/>
          </w:tcPr>
          <w:p w14:paraId="3CA45A7D" w14:textId="77777777" w:rsidR="00343878" w:rsidRPr="00D46512" w:rsidRDefault="00343878" w:rsidP="00BF6CC6">
            <w:pPr>
              <w:tabs>
                <w:tab w:val="left" w:pos="851"/>
              </w:tabs>
              <w:spacing w:line="360" w:lineRule="auto"/>
              <w:jc w:val="center"/>
              <w:rPr>
                <w:rFonts w:ascii="Arial" w:hAnsi="Arial" w:cs="Arial"/>
                <w:b w:val="0"/>
                <w:sz w:val="18"/>
                <w:szCs w:val="18"/>
                <w:lang w:val="id-ID"/>
              </w:rPr>
            </w:pPr>
            <w:r w:rsidRPr="00D46512">
              <w:rPr>
                <w:rFonts w:ascii="Arial" w:hAnsi="Arial" w:cs="Arial"/>
                <w:b w:val="0"/>
                <w:sz w:val="18"/>
                <w:szCs w:val="18"/>
                <w:lang w:val="id-ID"/>
              </w:rPr>
              <w:t>No</w:t>
            </w:r>
            <w:r w:rsidR="00BF6CC6" w:rsidRPr="00D46512">
              <w:rPr>
                <w:rFonts w:ascii="Arial" w:hAnsi="Arial" w:cs="Arial"/>
                <w:b w:val="0"/>
                <w:sz w:val="18"/>
                <w:szCs w:val="18"/>
                <w:lang w:val="id-ID"/>
              </w:rPr>
              <w:t>.</w:t>
            </w:r>
          </w:p>
        </w:tc>
        <w:tc>
          <w:tcPr>
            <w:tcW w:w="1639" w:type="dxa"/>
          </w:tcPr>
          <w:p w14:paraId="083033C6" w14:textId="77777777" w:rsidR="00343878" w:rsidRPr="00D46512" w:rsidRDefault="00343878" w:rsidP="00BF6CC6">
            <w:pPr>
              <w:tabs>
                <w:tab w:val="left" w:pos="851"/>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id-ID"/>
              </w:rPr>
            </w:pPr>
            <w:r w:rsidRPr="00D46512">
              <w:rPr>
                <w:rFonts w:ascii="Arial" w:hAnsi="Arial" w:cs="Arial"/>
                <w:b w:val="0"/>
                <w:sz w:val="18"/>
                <w:szCs w:val="18"/>
                <w:lang w:val="id-ID"/>
              </w:rPr>
              <w:t xml:space="preserve">Variabel </w:t>
            </w:r>
            <w:r w:rsidR="00BF6CC6" w:rsidRPr="00D46512">
              <w:rPr>
                <w:rFonts w:ascii="Arial" w:hAnsi="Arial" w:cs="Arial"/>
                <w:b w:val="0"/>
                <w:sz w:val="18"/>
                <w:szCs w:val="18"/>
                <w:lang w:val="id-ID"/>
              </w:rPr>
              <w:t>Bebas</w:t>
            </w:r>
          </w:p>
        </w:tc>
        <w:tc>
          <w:tcPr>
            <w:tcW w:w="1701" w:type="dxa"/>
          </w:tcPr>
          <w:p w14:paraId="3C3ED58C" w14:textId="77777777" w:rsidR="00343878" w:rsidRPr="00D46512" w:rsidRDefault="00343878" w:rsidP="00BF6CC6">
            <w:pPr>
              <w:tabs>
                <w:tab w:val="left" w:pos="851"/>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id-ID"/>
              </w:rPr>
            </w:pPr>
            <w:r w:rsidRPr="00D46512">
              <w:rPr>
                <w:rFonts w:ascii="Arial" w:hAnsi="Arial" w:cs="Arial"/>
                <w:b w:val="0"/>
                <w:sz w:val="18"/>
                <w:szCs w:val="18"/>
                <w:lang w:val="id-ID"/>
              </w:rPr>
              <w:t xml:space="preserve">Variabel </w:t>
            </w:r>
            <w:r w:rsidR="00BF6CC6" w:rsidRPr="00D46512">
              <w:rPr>
                <w:rFonts w:ascii="Arial" w:hAnsi="Arial" w:cs="Arial"/>
                <w:b w:val="0"/>
                <w:sz w:val="18"/>
                <w:szCs w:val="18"/>
                <w:lang w:val="id-ID"/>
              </w:rPr>
              <w:t>Terikat</w:t>
            </w:r>
          </w:p>
        </w:tc>
        <w:tc>
          <w:tcPr>
            <w:tcW w:w="851" w:type="dxa"/>
          </w:tcPr>
          <w:p w14:paraId="5193328D" w14:textId="77777777" w:rsidR="00343878" w:rsidRPr="00D46512" w:rsidRDefault="00343878" w:rsidP="00BF6CC6">
            <w:pPr>
              <w:tabs>
                <w:tab w:val="left" w:pos="851"/>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id-ID"/>
              </w:rPr>
            </w:pPr>
            <w:r w:rsidRPr="00D46512">
              <w:rPr>
                <w:rFonts w:ascii="Arial" w:hAnsi="Arial" w:cs="Arial"/>
                <w:b w:val="0"/>
                <w:sz w:val="18"/>
                <w:szCs w:val="18"/>
                <w:lang w:val="id-ID"/>
              </w:rPr>
              <w:t>Nilai P</w:t>
            </w:r>
          </w:p>
        </w:tc>
        <w:tc>
          <w:tcPr>
            <w:tcW w:w="1701" w:type="dxa"/>
          </w:tcPr>
          <w:p w14:paraId="17072B22" w14:textId="77777777" w:rsidR="00343878" w:rsidRPr="00D46512" w:rsidRDefault="00343878" w:rsidP="00BF6CC6">
            <w:pPr>
              <w:tabs>
                <w:tab w:val="left" w:pos="851"/>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id-ID"/>
              </w:rPr>
            </w:pPr>
            <w:r w:rsidRPr="00D46512">
              <w:rPr>
                <w:rFonts w:ascii="Arial" w:hAnsi="Arial" w:cs="Arial"/>
                <w:b w:val="0"/>
                <w:sz w:val="18"/>
                <w:szCs w:val="18"/>
                <w:lang w:val="id-ID"/>
              </w:rPr>
              <w:t>Kesimpulan</w:t>
            </w:r>
          </w:p>
        </w:tc>
      </w:tr>
      <w:tr w:rsidR="00D46512" w:rsidRPr="00D46512" w14:paraId="49EBDE7D" w14:textId="77777777" w:rsidTr="00D46512">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629" w:type="dxa"/>
          </w:tcPr>
          <w:p w14:paraId="0C04F795" w14:textId="77777777" w:rsidR="00343878" w:rsidRPr="00D46512" w:rsidRDefault="00BF6CC6" w:rsidP="00BF6CC6">
            <w:pPr>
              <w:tabs>
                <w:tab w:val="left" w:pos="851"/>
              </w:tabs>
              <w:spacing w:line="360" w:lineRule="auto"/>
              <w:jc w:val="center"/>
              <w:rPr>
                <w:rFonts w:ascii="Arial" w:hAnsi="Arial" w:cs="Arial"/>
                <w:b w:val="0"/>
                <w:sz w:val="18"/>
                <w:szCs w:val="18"/>
                <w:lang w:val="id-ID"/>
              </w:rPr>
            </w:pPr>
            <w:r w:rsidRPr="00D46512">
              <w:rPr>
                <w:rFonts w:ascii="Arial" w:hAnsi="Arial" w:cs="Arial"/>
                <w:b w:val="0"/>
                <w:sz w:val="18"/>
                <w:szCs w:val="18"/>
                <w:lang w:val="id-ID"/>
              </w:rPr>
              <w:t>1</w:t>
            </w:r>
          </w:p>
        </w:tc>
        <w:tc>
          <w:tcPr>
            <w:tcW w:w="1639" w:type="dxa"/>
          </w:tcPr>
          <w:p w14:paraId="359AD556" w14:textId="77777777" w:rsidR="00343878" w:rsidRPr="00D46512" w:rsidRDefault="00BF6CC6" w:rsidP="00BF6CC6">
            <w:pPr>
              <w:tabs>
                <w:tab w:val="left" w:pos="851"/>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Minicex</w:t>
            </w:r>
          </w:p>
        </w:tc>
        <w:tc>
          <w:tcPr>
            <w:tcW w:w="1701" w:type="dxa"/>
          </w:tcPr>
          <w:p w14:paraId="0FF725A7" w14:textId="77777777" w:rsidR="00343878" w:rsidRPr="00D46512" w:rsidRDefault="00343878" w:rsidP="00BF6CC6">
            <w:pPr>
              <w:tabs>
                <w:tab w:val="left" w:pos="851"/>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CBT</w:t>
            </w:r>
            <w:r w:rsidRPr="00D46512">
              <w:rPr>
                <w:rFonts w:ascii="Arial" w:hAnsi="Arial" w:cs="Arial"/>
                <w:color w:val="000000"/>
                <w:sz w:val="18"/>
                <w:szCs w:val="18"/>
                <w:lang w:val="id-ID"/>
              </w:rPr>
              <w:t xml:space="preserve"> UKMPPD</w:t>
            </w:r>
          </w:p>
        </w:tc>
        <w:tc>
          <w:tcPr>
            <w:tcW w:w="851" w:type="dxa"/>
          </w:tcPr>
          <w:p w14:paraId="176C303E" w14:textId="77777777" w:rsidR="00343878" w:rsidRPr="00D46512" w:rsidRDefault="00BF6CC6" w:rsidP="00BF6CC6">
            <w:pPr>
              <w:tabs>
                <w:tab w:val="left" w:pos="851"/>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0,080</w:t>
            </w:r>
          </w:p>
        </w:tc>
        <w:tc>
          <w:tcPr>
            <w:tcW w:w="1701" w:type="dxa"/>
          </w:tcPr>
          <w:p w14:paraId="2C837352" w14:textId="77777777" w:rsidR="00343878" w:rsidRPr="00D46512" w:rsidRDefault="00BF6CC6" w:rsidP="00BF6CC6">
            <w:pPr>
              <w:tabs>
                <w:tab w:val="left" w:pos="851"/>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Tidak Signifikan</w:t>
            </w:r>
          </w:p>
        </w:tc>
      </w:tr>
      <w:tr w:rsidR="00D46512" w:rsidRPr="00D46512" w14:paraId="5298C2FC" w14:textId="77777777" w:rsidTr="00D46512">
        <w:trPr>
          <w:trHeight w:val="161"/>
          <w:jc w:val="center"/>
        </w:trPr>
        <w:tc>
          <w:tcPr>
            <w:cnfStyle w:val="001000000000" w:firstRow="0" w:lastRow="0" w:firstColumn="1" w:lastColumn="0" w:oddVBand="0" w:evenVBand="0" w:oddHBand="0" w:evenHBand="0" w:firstRowFirstColumn="0" w:firstRowLastColumn="0" w:lastRowFirstColumn="0" w:lastRowLastColumn="0"/>
            <w:tcW w:w="629" w:type="dxa"/>
          </w:tcPr>
          <w:p w14:paraId="78C3491C" w14:textId="77777777" w:rsidR="00343878" w:rsidRPr="00D46512" w:rsidRDefault="00BF6CC6" w:rsidP="00BF6CC6">
            <w:pPr>
              <w:tabs>
                <w:tab w:val="left" w:pos="851"/>
              </w:tabs>
              <w:spacing w:line="360" w:lineRule="auto"/>
              <w:jc w:val="center"/>
              <w:rPr>
                <w:rFonts w:ascii="Arial" w:hAnsi="Arial" w:cs="Arial"/>
                <w:b w:val="0"/>
                <w:sz w:val="18"/>
                <w:szCs w:val="18"/>
                <w:lang w:val="id-ID"/>
              </w:rPr>
            </w:pPr>
            <w:r w:rsidRPr="00D46512">
              <w:rPr>
                <w:rFonts w:ascii="Arial" w:hAnsi="Arial" w:cs="Arial"/>
                <w:b w:val="0"/>
                <w:sz w:val="18"/>
                <w:szCs w:val="18"/>
                <w:lang w:val="id-ID"/>
              </w:rPr>
              <w:t>2</w:t>
            </w:r>
          </w:p>
        </w:tc>
        <w:tc>
          <w:tcPr>
            <w:tcW w:w="1639" w:type="dxa"/>
          </w:tcPr>
          <w:p w14:paraId="76D89FFE" w14:textId="77777777" w:rsidR="00343878" w:rsidRPr="00D46512" w:rsidRDefault="00BF6CC6" w:rsidP="00BF6CC6">
            <w:pPr>
              <w:tabs>
                <w:tab w:val="left" w:pos="851"/>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Tut.Klinik</w:t>
            </w:r>
          </w:p>
        </w:tc>
        <w:tc>
          <w:tcPr>
            <w:tcW w:w="1701" w:type="dxa"/>
          </w:tcPr>
          <w:p w14:paraId="6F7ED7F8" w14:textId="77777777" w:rsidR="00343878" w:rsidRPr="00D46512" w:rsidRDefault="00343878" w:rsidP="00BF6CC6">
            <w:pPr>
              <w:tabs>
                <w:tab w:val="left" w:pos="85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CBT</w:t>
            </w:r>
            <w:r w:rsidRPr="00D46512">
              <w:rPr>
                <w:rFonts w:ascii="Arial" w:hAnsi="Arial" w:cs="Arial"/>
                <w:color w:val="000000"/>
                <w:sz w:val="18"/>
                <w:szCs w:val="18"/>
                <w:lang w:val="id-ID"/>
              </w:rPr>
              <w:t xml:space="preserve"> UKMPPD</w:t>
            </w:r>
          </w:p>
        </w:tc>
        <w:tc>
          <w:tcPr>
            <w:tcW w:w="851" w:type="dxa"/>
          </w:tcPr>
          <w:p w14:paraId="7030394E" w14:textId="77777777" w:rsidR="00343878" w:rsidRPr="00D46512" w:rsidRDefault="00BF6CC6" w:rsidP="00BF6CC6">
            <w:pPr>
              <w:tabs>
                <w:tab w:val="left" w:pos="85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0,651</w:t>
            </w:r>
          </w:p>
        </w:tc>
        <w:tc>
          <w:tcPr>
            <w:tcW w:w="1701" w:type="dxa"/>
          </w:tcPr>
          <w:p w14:paraId="05135B0D" w14:textId="77777777" w:rsidR="00343878" w:rsidRPr="00D46512" w:rsidRDefault="00BF6CC6" w:rsidP="00BF6CC6">
            <w:pPr>
              <w:tabs>
                <w:tab w:val="left" w:pos="85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Tidak Signifikan</w:t>
            </w:r>
          </w:p>
        </w:tc>
      </w:tr>
      <w:tr w:rsidR="00D46512" w:rsidRPr="00D46512" w14:paraId="0E5F46A6" w14:textId="77777777" w:rsidTr="00D46512">
        <w:trPr>
          <w:cnfStyle w:val="000000100000" w:firstRow="0" w:lastRow="0" w:firstColumn="0" w:lastColumn="0" w:oddVBand="0" w:evenVBand="0" w:oddHBand="1" w:evenHBand="0" w:firstRowFirstColumn="0" w:firstRowLastColumn="0" w:lastRowFirstColumn="0" w:lastRowLastColumn="0"/>
          <w:trHeight w:val="123"/>
          <w:jc w:val="center"/>
        </w:trPr>
        <w:tc>
          <w:tcPr>
            <w:cnfStyle w:val="001000000000" w:firstRow="0" w:lastRow="0" w:firstColumn="1" w:lastColumn="0" w:oddVBand="0" w:evenVBand="0" w:oddHBand="0" w:evenHBand="0" w:firstRowFirstColumn="0" w:firstRowLastColumn="0" w:lastRowFirstColumn="0" w:lastRowLastColumn="0"/>
            <w:tcW w:w="629" w:type="dxa"/>
          </w:tcPr>
          <w:p w14:paraId="497D1F67" w14:textId="77777777" w:rsidR="00343878" w:rsidRPr="00D46512" w:rsidRDefault="00BF6CC6" w:rsidP="00BF6CC6">
            <w:pPr>
              <w:tabs>
                <w:tab w:val="left" w:pos="851"/>
              </w:tabs>
              <w:spacing w:line="360" w:lineRule="auto"/>
              <w:jc w:val="center"/>
              <w:rPr>
                <w:rFonts w:ascii="Arial" w:hAnsi="Arial" w:cs="Arial"/>
                <w:b w:val="0"/>
                <w:sz w:val="18"/>
                <w:szCs w:val="18"/>
                <w:lang w:val="id-ID"/>
              </w:rPr>
            </w:pPr>
            <w:r w:rsidRPr="00D46512">
              <w:rPr>
                <w:rFonts w:ascii="Arial" w:hAnsi="Arial" w:cs="Arial"/>
                <w:b w:val="0"/>
                <w:sz w:val="18"/>
                <w:szCs w:val="18"/>
                <w:lang w:val="id-ID"/>
              </w:rPr>
              <w:t>3</w:t>
            </w:r>
          </w:p>
        </w:tc>
        <w:tc>
          <w:tcPr>
            <w:tcW w:w="1639" w:type="dxa"/>
          </w:tcPr>
          <w:p w14:paraId="602A94CC" w14:textId="77777777" w:rsidR="00343878" w:rsidRPr="00D46512" w:rsidRDefault="00BF6CC6" w:rsidP="00BF6CC6">
            <w:pPr>
              <w:tabs>
                <w:tab w:val="left" w:pos="851"/>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Utul</w:t>
            </w:r>
          </w:p>
        </w:tc>
        <w:tc>
          <w:tcPr>
            <w:tcW w:w="1701" w:type="dxa"/>
          </w:tcPr>
          <w:p w14:paraId="5C9B42E7" w14:textId="77777777" w:rsidR="00343878" w:rsidRPr="00D46512" w:rsidRDefault="00343878" w:rsidP="00BF6CC6">
            <w:pPr>
              <w:tabs>
                <w:tab w:val="left" w:pos="851"/>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CBT</w:t>
            </w:r>
            <w:r w:rsidRPr="00D46512">
              <w:rPr>
                <w:rFonts w:ascii="Arial" w:hAnsi="Arial" w:cs="Arial"/>
                <w:color w:val="000000"/>
                <w:sz w:val="18"/>
                <w:szCs w:val="18"/>
                <w:lang w:val="id-ID"/>
              </w:rPr>
              <w:t xml:space="preserve"> UKMPPD</w:t>
            </w:r>
          </w:p>
        </w:tc>
        <w:tc>
          <w:tcPr>
            <w:tcW w:w="851" w:type="dxa"/>
          </w:tcPr>
          <w:p w14:paraId="4B628E3B" w14:textId="77777777" w:rsidR="00343878" w:rsidRPr="00D46512" w:rsidRDefault="00BF6CC6" w:rsidP="00BF6CC6">
            <w:pPr>
              <w:tabs>
                <w:tab w:val="left" w:pos="851"/>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0,000</w:t>
            </w:r>
          </w:p>
        </w:tc>
        <w:tc>
          <w:tcPr>
            <w:tcW w:w="1701" w:type="dxa"/>
          </w:tcPr>
          <w:p w14:paraId="1EF74002" w14:textId="77777777" w:rsidR="00343878" w:rsidRPr="00D46512" w:rsidRDefault="00BF6CC6" w:rsidP="00BF6CC6">
            <w:pPr>
              <w:tabs>
                <w:tab w:val="left" w:pos="851"/>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Signifikan</w:t>
            </w:r>
          </w:p>
        </w:tc>
      </w:tr>
      <w:tr w:rsidR="00D46512" w:rsidRPr="00D46512" w14:paraId="1E992A8E" w14:textId="77777777" w:rsidTr="00D46512">
        <w:trPr>
          <w:trHeight w:val="228"/>
          <w:jc w:val="center"/>
        </w:trPr>
        <w:tc>
          <w:tcPr>
            <w:cnfStyle w:val="001000000000" w:firstRow="0" w:lastRow="0" w:firstColumn="1" w:lastColumn="0" w:oddVBand="0" w:evenVBand="0" w:oddHBand="0" w:evenHBand="0" w:firstRowFirstColumn="0" w:firstRowLastColumn="0" w:lastRowFirstColumn="0" w:lastRowLastColumn="0"/>
            <w:tcW w:w="629" w:type="dxa"/>
          </w:tcPr>
          <w:p w14:paraId="78261170" w14:textId="77777777" w:rsidR="00343878" w:rsidRPr="00D46512" w:rsidRDefault="00BF6CC6" w:rsidP="00BF6CC6">
            <w:pPr>
              <w:tabs>
                <w:tab w:val="left" w:pos="851"/>
              </w:tabs>
              <w:spacing w:line="360" w:lineRule="auto"/>
              <w:jc w:val="center"/>
              <w:rPr>
                <w:rFonts w:ascii="Arial" w:hAnsi="Arial" w:cs="Arial"/>
                <w:b w:val="0"/>
                <w:sz w:val="18"/>
                <w:szCs w:val="18"/>
                <w:lang w:val="id-ID"/>
              </w:rPr>
            </w:pPr>
            <w:r w:rsidRPr="00D46512">
              <w:rPr>
                <w:rFonts w:ascii="Arial" w:hAnsi="Arial" w:cs="Arial"/>
                <w:b w:val="0"/>
                <w:sz w:val="18"/>
                <w:szCs w:val="18"/>
                <w:lang w:val="id-ID"/>
              </w:rPr>
              <w:t>4</w:t>
            </w:r>
          </w:p>
        </w:tc>
        <w:tc>
          <w:tcPr>
            <w:tcW w:w="1639" w:type="dxa"/>
          </w:tcPr>
          <w:p w14:paraId="6777EC4C" w14:textId="77777777" w:rsidR="00343878" w:rsidRPr="00D46512" w:rsidRDefault="00BF6CC6" w:rsidP="00BF6CC6">
            <w:pPr>
              <w:tabs>
                <w:tab w:val="left" w:pos="851"/>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Osler</w:t>
            </w:r>
          </w:p>
        </w:tc>
        <w:tc>
          <w:tcPr>
            <w:tcW w:w="1701" w:type="dxa"/>
          </w:tcPr>
          <w:p w14:paraId="7EB10E20" w14:textId="77777777" w:rsidR="00343878" w:rsidRPr="00D46512" w:rsidRDefault="00343878" w:rsidP="00BF6CC6">
            <w:pPr>
              <w:tabs>
                <w:tab w:val="left" w:pos="85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CBT</w:t>
            </w:r>
            <w:r w:rsidRPr="00D46512">
              <w:rPr>
                <w:rFonts w:ascii="Arial" w:hAnsi="Arial" w:cs="Arial"/>
                <w:color w:val="000000"/>
                <w:sz w:val="18"/>
                <w:szCs w:val="18"/>
                <w:lang w:val="id-ID"/>
              </w:rPr>
              <w:t xml:space="preserve"> UKMPPD</w:t>
            </w:r>
          </w:p>
        </w:tc>
        <w:tc>
          <w:tcPr>
            <w:tcW w:w="851" w:type="dxa"/>
          </w:tcPr>
          <w:p w14:paraId="6977DEC1" w14:textId="77777777" w:rsidR="00343878" w:rsidRPr="00D46512" w:rsidRDefault="00BF6CC6" w:rsidP="00BF6CC6">
            <w:pPr>
              <w:tabs>
                <w:tab w:val="left" w:pos="85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0,019</w:t>
            </w:r>
          </w:p>
        </w:tc>
        <w:tc>
          <w:tcPr>
            <w:tcW w:w="1701" w:type="dxa"/>
          </w:tcPr>
          <w:p w14:paraId="36A97924" w14:textId="77777777" w:rsidR="00343878" w:rsidRPr="00D46512" w:rsidRDefault="00BF6CC6" w:rsidP="00BF6CC6">
            <w:pPr>
              <w:tabs>
                <w:tab w:val="left" w:pos="85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Signifikan</w:t>
            </w:r>
          </w:p>
        </w:tc>
      </w:tr>
      <w:tr w:rsidR="00D46512" w:rsidRPr="00D46512" w14:paraId="3533A0EE" w14:textId="77777777" w:rsidTr="00D46512">
        <w:trPr>
          <w:cnfStyle w:val="000000100000" w:firstRow="0" w:lastRow="0" w:firstColumn="0" w:lastColumn="0" w:oddVBand="0" w:evenVBand="0" w:oddHBand="1" w:evenHBand="0" w:firstRowFirstColumn="0" w:firstRowLastColumn="0" w:lastRowFirstColumn="0" w:lastRowLastColumn="0"/>
          <w:trHeight w:val="189"/>
          <w:jc w:val="center"/>
        </w:trPr>
        <w:tc>
          <w:tcPr>
            <w:cnfStyle w:val="001000000000" w:firstRow="0" w:lastRow="0" w:firstColumn="1" w:lastColumn="0" w:oddVBand="0" w:evenVBand="0" w:oddHBand="0" w:evenHBand="0" w:firstRowFirstColumn="0" w:firstRowLastColumn="0" w:lastRowFirstColumn="0" w:lastRowLastColumn="0"/>
            <w:tcW w:w="629" w:type="dxa"/>
          </w:tcPr>
          <w:p w14:paraId="75024035" w14:textId="77777777" w:rsidR="00343878" w:rsidRPr="00D46512" w:rsidRDefault="00BF6CC6" w:rsidP="00BF6CC6">
            <w:pPr>
              <w:tabs>
                <w:tab w:val="left" w:pos="851"/>
              </w:tabs>
              <w:spacing w:line="360" w:lineRule="auto"/>
              <w:jc w:val="center"/>
              <w:rPr>
                <w:rFonts w:ascii="Arial" w:hAnsi="Arial" w:cs="Arial"/>
                <w:b w:val="0"/>
                <w:sz w:val="18"/>
                <w:szCs w:val="18"/>
                <w:lang w:val="id-ID"/>
              </w:rPr>
            </w:pPr>
            <w:r w:rsidRPr="00D46512">
              <w:rPr>
                <w:rFonts w:ascii="Arial" w:hAnsi="Arial" w:cs="Arial"/>
                <w:b w:val="0"/>
                <w:sz w:val="18"/>
                <w:szCs w:val="18"/>
                <w:lang w:val="id-ID"/>
              </w:rPr>
              <w:t>5</w:t>
            </w:r>
          </w:p>
        </w:tc>
        <w:tc>
          <w:tcPr>
            <w:tcW w:w="1639" w:type="dxa"/>
          </w:tcPr>
          <w:p w14:paraId="72661B0D" w14:textId="77777777" w:rsidR="00343878" w:rsidRPr="00D46512" w:rsidRDefault="00BF6CC6" w:rsidP="00BF6CC6">
            <w:pPr>
              <w:tabs>
                <w:tab w:val="left" w:pos="851"/>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Nilai Total</w:t>
            </w:r>
          </w:p>
        </w:tc>
        <w:tc>
          <w:tcPr>
            <w:tcW w:w="1701" w:type="dxa"/>
          </w:tcPr>
          <w:p w14:paraId="5228ADD8" w14:textId="77777777" w:rsidR="00343878" w:rsidRPr="00D46512" w:rsidRDefault="00343878" w:rsidP="00BF6CC6">
            <w:pPr>
              <w:tabs>
                <w:tab w:val="left" w:pos="851"/>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CBT</w:t>
            </w:r>
            <w:r w:rsidRPr="00D46512">
              <w:rPr>
                <w:rFonts w:ascii="Arial" w:hAnsi="Arial" w:cs="Arial"/>
                <w:color w:val="000000"/>
                <w:sz w:val="18"/>
                <w:szCs w:val="18"/>
                <w:lang w:val="id-ID"/>
              </w:rPr>
              <w:t xml:space="preserve"> UKMPPD</w:t>
            </w:r>
          </w:p>
        </w:tc>
        <w:tc>
          <w:tcPr>
            <w:tcW w:w="851" w:type="dxa"/>
          </w:tcPr>
          <w:p w14:paraId="7DA21580" w14:textId="77777777" w:rsidR="00343878" w:rsidRPr="00D46512" w:rsidRDefault="00BF6CC6" w:rsidP="00BF6CC6">
            <w:pPr>
              <w:tabs>
                <w:tab w:val="left" w:pos="851"/>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0,002</w:t>
            </w:r>
          </w:p>
        </w:tc>
        <w:tc>
          <w:tcPr>
            <w:tcW w:w="1701" w:type="dxa"/>
          </w:tcPr>
          <w:p w14:paraId="4E1FCE21" w14:textId="77777777" w:rsidR="00343878" w:rsidRPr="00D46512" w:rsidRDefault="00BF6CC6" w:rsidP="00BF6CC6">
            <w:pPr>
              <w:tabs>
                <w:tab w:val="left" w:pos="851"/>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Signifikan</w:t>
            </w:r>
          </w:p>
        </w:tc>
      </w:tr>
      <w:tr w:rsidR="00D46512" w:rsidRPr="00D46512" w14:paraId="0F851419" w14:textId="77777777" w:rsidTr="00D46512">
        <w:trPr>
          <w:trHeight w:val="293"/>
          <w:jc w:val="center"/>
        </w:trPr>
        <w:tc>
          <w:tcPr>
            <w:cnfStyle w:val="001000000000" w:firstRow="0" w:lastRow="0" w:firstColumn="1" w:lastColumn="0" w:oddVBand="0" w:evenVBand="0" w:oddHBand="0" w:evenHBand="0" w:firstRowFirstColumn="0" w:firstRowLastColumn="0" w:lastRowFirstColumn="0" w:lastRowLastColumn="0"/>
            <w:tcW w:w="629" w:type="dxa"/>
          </w:tcPr>
          <w:p w14:paraId="18B1953E" w14:textId="77777777" w:rsidR="00343878" w:rsidRPr="00D46512" w:rsidRDefault="00BF6CC6" w:rsidP="00BF6CC6">
            <w:pPr>
              <w:tabs>
                <w:tab w:val="left" w:pos="851"/>
              </w:tabs>
              <w:spacing w:line="360" w:lineRule="auto"/>
              <w:jc w:val="center"/>
              <w:rPr>
                <w:rFonts w:ascii="Arial" w:hAnsi="Arial" w:cs="Arial"/>
                <w:b w:val="0"/>
                <w:sz w:val="18"/>
                <w:szCs w:val="18"/>
                <w:lang w:val="id-ID"/>
              </w:rPr>
            </w:pPr>
            <w:r w:rsidRPr="00D46512">
              <w:rPr>
                <w:rFonts w:ascii="Arial" w:hAnsi="Arial" w:cs="Arial"/>
                <w:b w:val="0"/>
                <w:sz w:val="18"/>
                <w:szCs w:val="18"/>
                <w:lang w:val="id-ID"/>
              </w:rPr>
              <w:t>6</w:t>
            </w:r>
          </w:p>
        </w:tc>
        <w:tc>
          <w:tcPr>
            <w:tcW w:w="1639" w:type="dxa"/>
          </w:tcPr>
          <w:p w14:paraId="6FB729A3" w14:textId="77777777" w:rsidR="00343878" w:rsidRPr="00D46512" w:rsidRDefault="00BF6CC6" w:rsidP="00BF6CC6">
            <w:pPr>
              <w:tabs>
                <w:tab w:val="left" w:pos="851"/>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Minicex</w:t>
            </w:r>
          </w:p>
        </w:tc>
        <w:tc>
          <w:tcPr>
            <w:tcW w:w="1701" w:type="dxa"/>
          </w:tcPr>
          <w:p w14:paraId="60C5424E" w14:textId="77777777" w:rsidR="00343878" w:rsidRPr="00D46512" w:rsidRDefault="00343878" w:rsidP="00BF6CC6">
            <w:pPr>
              <w:tabs>
                <w:tab w:val="left" w:pos="85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OSCE</w:t>
            </w:r>
            <w:r w:rsidRPr="00D46512">
              <w:rPr>
                <w:rFonts w:ascii="Arial" w:hAnsi="Arial" w:cs="Arial"/>
                <w:color w:val="000000"/>
                <w:sz w:val="18"/>
                <w:szCs w:val="18"/>
                <w:lang w:val="id-ID"/>
              </w:rPr>
              <w:t xml:space="preserve"> UKMPPD</w:t>
            </w:r>
          </w:p>
        </w:tc>
        <w:tc>
          <w:tcPr>
            <w:tcW w:w="851" w:type="dxa"/>
          </w:tcPr>
          <w:p w14:paraId="0A8DA05A" w14:textId="77777777" w:rsidR="00343878" w:rsidRPr="00D46512" w:rsidRDefault="00BF6CC6" w:rsidP="00BF6CC6">
            <w:pPr>
              <w:tabs>
                <w:tab w:val="left" w:pos="85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0,001</w:t>
            </w:r>
          </w:p>
        </w:tc>
        <w:tc>
          <w:tcPr>
            <w:tcW w:w="1701" w:type="dxa"/>
          </w:tcPr>
          <w:p w14:paraId="764D5364" w14:textId="77777777" w:rsidR="00343878" w:rsidRPr="00D46512" w:rsidRDefault="00BF6CC6" w:rsidP="00BF6CC6">
            <w:pPr>
              <w:tabs>
                <w:tab w:val="left" w:pos="85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Signifikan</w:t>
            </w:r>
          </w:p>
        </w:tc>
      </w:tr>
      <w:tr w:rsidR="00D46512" w:rsidRPr="00D46512" w14:paraId="700DA39D" w14:textId="77777777" w:rsidTr="00D4651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629" w:type="dxa"/>
          </w:tcPr>
          <w:p w14:paraId="7F60C4CA" w14:textId="77777777" w:rsidR="00343878" w:rsidRPr="00D46512" w:rsidRDefault="00BF6CC6" w:rsidP="00BF6CC6">
            <w:pPr>
              <w:tabs>
                <w:tab w:val="left" w:pos="851"/>
              </w:tabs>
              <w:spacing w:line="360" w:lineRule="auto"/>
              <w:jc w:val="center"/>
              <w:rPr>
                <w:rFonts w:ascii="Arial" w:hAnsi="Arial" w:cs="Arial"/>
                <w:b w:val="0"/>
                <w:sz w:val="18"/>
                <w:szCs w:val="18"/>
                <w:lang w:val="id-ID"/>
              </w:rPr>
            </w:pPr>
            <w:r w:rsidRPr="00D46512">
              <w:rPr>
                <w:rFonts w:ascii="Arial" w:hAnsi="Arial" w:cs="Arial"/>
                <w:b w:val="0"/>
                <w:sz w:val="18"/>
                <w:szCs w:val="18"/>
                <w:lang w:val="id-ID"/>
              </w:rPr>
              <w:t>7</w:t>
            </w:r>
          </w:p>
        </w:tc>
        <w:tc>
          <w:tcPr>
            <w:tcW w:w="1639" w:type="dxa"/>
          </w:tcPr>
          <w:p w14:paraId="3E6A850D" w14:textId="77777777" w:rsidR="00343878" w:rsidRPr="00D46512" w:rsidRDefault="00BF6CC6" w:rsidP="00BF6CC6">
            <w:pPr>
              <w:tabs>
                <w:tab w:val="left" w:pos="851"/>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Tut.Klinik</w:t>
            </w:r>
          </w:p>
        </w:tc>
        <w:tc>
          <w:tcPr>
            <w:tcW w:w="1701" w:type="dxa"/>
          </w:tcPr>
          <w:p w14:paraId="177F0D61" w14:textId="77777777" w:rsidR="00343878" w:rsidRPr="00D46512" w:rsidRDefault="00343878" w:rsidP="00BF6CC6">
            <w:pPr>
              <w:tabs>
                <w:tab w:val="left" w:pos="851"/>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OSCE</w:t>
            </w:r>
            <w:r w:rsidRPr="00D46512">
              <w:rPr>
                <w:rFonts w:ascii="Arial" w:hAnsi="Arial" w:cs="Arial"/>
                <w:color w:val="000000"/>
                <w:sz w:val="18"/>
                <w:szCs w:val="18"/>
                <w:lang w:val="id-ID"/>
              </w:rPr>
              <w:t xml:space="preserve"> UKMPPD</w:t>
            </w:r>
          </w:p>
        </w:tc>
        <w:tc>
          <w:tcPr>
            <w:tcW w:w="851" w:type="dxa"/>
          </w:tcPr>
          <w:p w14:paraId="00310AEC" w14:textId="77777777" w:rsidR="00343878" w:rsidRPr="00D46512" w:rsidRDefault="00BF6CC6" w:rsidP="00BF6CC6">
            <w:pPr>
              <w:tabs>
                <w:tab w:val="left" w:pos="851"/>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0,185</w:t>
            </w:r>
          </w:p>
        </w:tc>
        <w:tc>
          <w:tcPr>
            <w:tcW w:w="1701" w:type="dxa"/>
          </w:tcPr>
          <w:p w14:paraId="747CBA8D" w14:textId="77777777" w:rsidR="00343878" w:rsidRPr="00D46512" w:rsidRDefault="00BF6CC6" w:rsidP="00BF6CC6">
            <w:pPr>
              <w:tabs>
                <w:tab w:val="left" w:pos="851"/>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Tidak Signifikan</w:t>
            </w:r>
          </w:p>
        </w:tc>
      </w:tr>
      <w:tr w:rsidR="00D46512" w:rsidRPr="00D46512" w14:paraId="33CBC2B5" w14:textId="77777777" w:rsidTr="00D46512">
        <w:trPr>
          <w:trHeight w:val="217"/>
          <w:jc w:val="center"/>
        </w:trPr>
        <w:tc>
          <w:tcPr>
            <w:cnfStyle w:val="001000000000" w:firstRow="0" w:lastRow="0" w:firstColumn="1" w:lastColumn="0" w:oddVBand="0" w:evenVBand="0" w:oddHBand="0" w:evenHBand="0" w:firstRowFirstColumn="0" w:firstRowLastColumn="0" w:lastRowFirstColumn="0" w:lastRowLastColumn="0"/>
            <w:tcW w:w="629" w:type="dxa"/>
          </w:tcPr>
          <w:p w14:paraId="564AB7F1" w14:textId="77777777" w:rsidR="00343878" w:rsidRPr="00D46512" w:rsidRDefault="00BF6CC6" w:rsidP="00BF6CC6">
            <w:pPr>
              <w:tabs>
                <w:tab w:val="left" w:pos="851"/>
              </w:tabs>
              <w:spacing w:line="360" w:lineRule="auto"/>
              <w:jc w:val="center"/>
              <w:rPr>
                <w:rFonts w:ascii="Arial" w:hAnsi="Arial" w:cs="Arial"/>
                <w:b w:val="0"/>
                <w:sz w:val="18"/>
                <w:szCs w:val="18"/>
                <w:lang w:val="id-ID"/>
              </w:rPr>
            </w:pPr>
            <w:r w:rsidRPr="00D46512">
              <w:rPr>
                <w:rFonts w:ascii="Arial" w:hAnsi="Arial" w:cs="Arial"/>
                <w:b w:val="0"/>
                <w:sz w:val="18"/>
                <w:szCs w:val="18"/>
                <w:lang w:val="id-ID"/>
              </w:rPr>
              <w:t>8</w:t>
            </w:r>
          </w:p>
        </w:tc>
        <w:tc>
          <w:tcPr>
            <w:tcW w:w="1639" w:type="dxa"/>
          </w:tcPr>
          <w:p w14:paraId="0B7F86C6" w14:textId="77777777" w:rsidR="00343878" w:rsidRPr="00D46512" w:rsidRDefault="00BF6CC6" w:rsidP="00BF6CC6">
            <w:pPr>
              <w:tabs>
                <w:tab w:val="left" w:pos="851"/>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Utul</w:t>
            </w:r>
          </w:p>
        </w:tc>
        <w:tc>
          <w:tcPr>
            <w:tcW w:w="1701" w:type="dxa"/>
          </w:tcPr>
          <w:p w14:paraId="366214D3" w14:textId="77777777" w:rsidR="00343878" w:rsidRPr="00D46512" w:rsidRDefault="00343878" w:rsidP="00BF6CC6">
            <w:pPr>
              <w:tabs>
                <w:tab w:val="left" w:pos="85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OSCE</w:t>
            </w:r>
            <w:r w:rsidRPr="00D46512">
              <w:rPr>
                <w:rFonts w:ascii="Arial" w:hAnsi="Arial" w:cs="Arial"/>
                <w:color w:val="000000"/>
                <w:sz w:val="18"/>
                <w:szCs w:val="18"/>
                <w:lang w:val="id-ID"/>
              </w:rPr>
              <w:t xml:space="preserve"> UKMPPD</w:t>
            </w:r>
          </w:p>
        </w:tc>
        <w:tc>
          <w:tcPr>
            <w:tcW w:w="851" w:type="dxa"/>
          </w:tcPr>
          <w:p w14:paraId="6BC5B3A6" w14:textId="77777777" w:rsidR="00343878" w:rsidRPr="00D46512" w:rsidRDefault="00BF6CC6" w:rsidP="00BF6CC6">
            <w:pPr>
              <w:tabs>
                <w:tab w:val="left" w:pos="85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0,000</w:t>
            </w:r>
          </w:p>
        </w:tc>
        <w:tc>
          <w:tcPr>
            <w:tcW w:w="1701" w:type="dxa"/>
          </w:tcPr>
          <w:p w14:paraId="1A89CEB5" w14:textId="77777777" w:rsidR="00343878" w:rsidRPr="00D46512" w:rsidRDefault="00BF6CC6" w:rsidP="00BF6CC6">
            <w:pPr>
              <w:tabs>
                <w:tab w:val="left" w:pos="85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Signifikan</w:t>
            </w:r>
          </w:p>
        </w:tc>
      </w:tr>
      <w:tr w:rsidR="00D46512" w:rsidRPr="00D46512" w14:paraId="1B6CB3AD" w14:textId="77777777" w:rsidTr="00D46512">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629" w:type="dxa"/>
          </w:tcPr>
          <w:p w14:paraId="2AF96223" w14:textId="77777777" w:rsidR="00343878" w:rsidRPr="00D46512" w:rsidRDefault="00BF6CC6" w:rsidP="00BF6CC6">
            <w:pPr>
              <w:tabs>
                <w:tab w:val="left" w:pos="851"/>
              </w:tabs>
              <w:spacing w:line="360" w:lineRule="auto"/>
              <w:jc w:val="center"/>
              <w:rPr>
                <w:rFonts w:ascii="Arial" w:hAnsi="Arial" w:cs="Arial"/>
                <w:b w:val="0"/>
                <w:sz w:val="18"/>
                <w:szCs w:val="18"/>
                <w:lang w:val="id-ID"/>
              </w:rPr>
            </w:pPr>
            <w:r w:rsidRPr="00D46512">
              <w:rPr>
                <w:rFonts w:ascii="Arial" w:hAnsi="Arial" w:cs="Arial"/>
                <w:b w:val="0"/>
                <w:sz w:val="18"/>
                <w:szCs w:val="18"/>
                <w:lang w:val="id-ID"/>
              </w:rPr>
              <w:t>9</w:t>
            </w:r>
          </w:p>
        </w:tc>
        <w:tc>
          <w:tcPr>
            <w:tcW w:w="1639" w:type="dxa"/>
          </w:tcPr>
          <w:p w14:paraId="3C369E06" w14:textId="77777777" w:rsidR="00343878" w:rsidRPr="00D46512" w:rsidRDefault="00BF6CC6" w:rsidP="00BF6CC6">
            <w:pPr>
              <w:tabs>
                <w:tab w:val="left" w:pos="851"/>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Osler</w:t>
            </w:r>
          </w:p>
        </w:tc>
        <w:tc>
          <w:tcPr>
            <w:tcW w:w="1701" w:type="dxa"/>
          </w:tcPr>
          <w:p w14:paraId="165926B2" w14:textId="77777777" w:rsidR="00343878" w:rsidRPr="00D46512" w:rsidRDefault="00343878" w:rsidP="00BF6CC6">
            <w:pPr>
              <w:tabs>
                <w:tab w:val="left" w:pos="851"/>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OSCE</w:t>
            </w:r>
            <w:r w:rsidRPr="00D46512">
              <w:rPr>
                <w:rFonts w:ascii="Arial" w:hAnsi="Arial" w:cs="Arial"/>
                <w:color w:val="000000"/>
                <w:sz w:val="18"/>
                <w:szCs w:val="18"/>
                <w:lang w:val="id-ID"/>
              </w:rPr>
              <w:t xml:space="preserve"> UKMPPD</w:t>
            </w:r>
          </w:p>
        </w:tc>
        <w:tc>
          <w:tcPr>
            <w:tcW w:w="851" w:type="dxa"/>
          </w:tcPr>
          <w:p w14:paraId="752E3E52" w14:textId="77777777" w:rsidR="00343878" w:rsidRPr="00D46512" w:rsidRDefault="00BF6CC6" w:rsidP="00BF6CC6">
            <w:pPr>
              <w:tabs>
                <w:tab w:val="left" w:pos="851"/>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0,000</w:t>
            </w:r>
          </w:p>
        </w:tc>
        <w:tc>
          <w:tcPr>
            <w:tcW w:w="1701" w:type="dxa"/>
          </w:tcPr>
          <w:p w14:paraId="0A19D0D2" w14:textId="77777777" w:rsidR="00343878" w:rsidRPr="00D46512" w:rsidRDefault="00BF6CC6" w:rsidP="00BF6CC6">
            <w:pPr>
              <w:tabs>
                <w:tab w:val="left" w:pos="851"/>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Signifikan</w:t>
            </w:r>
          </w:p>
        </w:tc>
      </w:tr>
      <w:tr w:rsidR="00D46512" w:rsidRPr="00D46512" w14:paraId="02138DB5" w14:textId="77777777" w:rsidTr="00D46512">
        <w:trPr>
          <w:trHeight w:val="357"/>
          <w:jc w:val="center"/>
        </w:trPr>
        <w:tc>
          <w:tcPr>
            <w:cnfStyle w:val="001000000000" w:firstRow="0" w:lastRow="0" w:firstColumn="1" w:lastColumn="0" w:oddVBand="0" w:evenVBand="0" w:oddHBand="0" w:evenHBand="0" w:firstRowFirstColumn="0" w:firstRowLastColumn="0" w:lastRowFirstColumn="0" w:lastRowLastColumn="0"/>
            <w:tcW w:w="629" w:type="dxa"/>
          </w:tcPr>
          <w:p w14:paraId="3435ADD8" w14:textId="77777777" w:rsidR="00343878" w:rsidRPr="00D46512" w:rsidRDefault="00BF6CC6" w:rsidP="00BF6CC6">
            <w:pPr>
              <w:tabs>
                <w:tab w:val="left" w:pos="851"/>
              </w:tabs>
              <w:spacing w:line="360" w:lineRule="auto"/>
              <w:jc w:val="center"/>
              <w:rPr>
                <w:rFonts w:ascii="Arial" w:hAnsi="Arial" w:cs="Arial"/>
                <w:b w:val="0"/>
                <w:sz w:val="18"/>
                <w:szCs w:val="18"/>
                <w:lang w:val="id-ID"/>
              </w:rPr>
            </w:pPr>
            <w:r w:rsidRPr="00D46512">
              <w:rPr>
                <w:rFonts w:ascii="Arial" w:hAnsi="Arial" w:cs="Arial"/>
                <w:b w:val="0"/>
                <w:sz w:val="18"/>
                <w:szCs w:val="18"/>
                <w:lang w:val="id-ID"/>
              </w:rPr>
              <w:t>10</w:t>
            </w:r>
          </w:p>
        </w:tc>
        <w:tc>
          <w:tcPr>
            <w:tcW w:w="1639" w:type="dxa"/>
          </w:tcPr>
          <w:p w14:paraId="0A5B0194" w14:textId="77777777" w:rsidR="00343878" w:rsidRPr="00D46512" w:rsidRDefault="00BF6CC6" w:rsidP="00BF6CC6">
            <w:pPr>
              <w:tabs>
                <w:tab w:val="left" w:pos="851"/>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Nilai Total</w:t>
            </w:r>
          </w:p>
        </w:tc>
        <w:tc>
          <w:tcPr>
            <w:tcW w:w="1701" w:type="dxa"/>
          </w:tcPr>
          <w:p w14:paraId="60583087" w14:textId="77777777" w:rsidR="00343878" w:rsidRPr="00D46512" w:rsidRDefault="00343878" w:rsidP="00BF6CC6">
            <w:pPr>
              <w:tabs>
                <w:tab w:val="left" w:pos="85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OSCE</w:t>
            </w:r>
            <w:r w:rsidRPr="00D46512">
              <w:rPr>
                <w:rFonts w:ascii="Arial" w:hAnsi="Arial" w:cs="Arial"/>
                <w:color w:val="000000"/>
                <w:sz w:val="18"/>
                <w:szCs w:val="18"/>
                <w:lang w:val="id-ID"/>
              </w:rPr>
              <w:t xml:space="preserve"> UKMPPD</w:t>
            </w:r>
          </w:p>
        </w:tc>
        <w:tc>
          <w:tcPr>
            <w:tcW w:w="851" w:type="dxa"/>
          </w:tcPr>
          <w:p w14:paraId="324A99DD" w14:textId="77777777" w:rsidR="00343878" w:rsidRPr="00D46512" w:rsidRDefault="00BF6CC6" w:rsidP="00BF6CC6">
            <w:pPr>
              <w:tabs>
                <w:tab w:val="left" w:pos="85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0,000</w:t>
            </w:r>
          </w:p>
        </w:tc>
        <w:tc>
          <w:tcPr>
            <w:tcW w:w="1701" w:type="dxa"/>
          </w:tcPr>
          <w:p w14:paraId="72FD7F8F" w14:textId="77777777" w:rsidR="00343878" w:rsidRPr="00D46512" w:rsidRDefault="00BF6CC6" w:rsidP="00BF6CC6">
            <w:pPr>
              <w:tabs>
                <w:tab w:val="left" w:pos="85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d-ID"/>
              </w:rPr>
            </w:pPr>
            <w:r w:rsidRPr="00D46512">
              <w:rPr>
                <w:rFonts w:ascii="Arial" w:hAnsi="Arial" w:cs="Arial"/>
                <w:color w:val="000000"/>
                <w:sz w:val="18"/>
                <w:szCs w:val="18"/>
              </w:rPr>
              <w:t>Signifikan</w:t>
            </w:r>
          </w:p>
        </w:tc>
      </w:tr>
    </w:tbl>
    <w:p w14:paraId="20497C66" w14:textId="77777777" w:rsidR="00D46512" w:rsidRDefault="00D46512" w:rsidP="00BF6CC6">
      <w:pPr>
        <w:tabs>
          <w:tab w:val="left" w:pos="851"/>
        </w:tabs>
        <w:spacing w:line="360" w:lineRule="auto"/>
        <w:jc w:val="both"/>
        <w:rPr>
          <w:rFonts w:ascii="Arial" w:hAnsi="Arial" w:cs="Arial"/>
          <w:sz w:val="20"/>
          <w:szCs w:val="20"/>
          <w:lang w:val="id-ID"/>
        </w:rPr>
        <w:sectPr w:rsidR="00D46512" w:rsidSect="00D46512">
          <w:type w:val="continuous"/>
          <w:pgSz w:w="11907" w:h="16840" w:code="9"/>
          <w:pgMar w:top="1440" w:right="1440" w:bottom="1440" w:left="1440" w:header="709" w:footer="709" w:gutter="0"/>
          <w:cols w:space="708"/>
          <w:docGrid w:linePitch="360"/>
        </w:sectPr>
      </w:pPr>
    </w:p>
    <w:p w14:paraId="27D02866" w14:textId="77777777" w:rsidR="00977DF8" w:rsidRPr="00D46512" w:rsidRDefault="00517D50" w:rsidP="00BF6CC6">
      <w:pPr>
        <w:tabs>
          <w:tab w:val="left" w:pos="851"/>
        </w:tabs>
        <w:spacing w:line="360" w:lineRule="auto"/>
        <w:jc w:val="both"/>
        <w:rPr>
          <w:rFonts w:ascii="Arial" w:hAnsi="Arial" w:cs="Arial"/>
          <w:sz w:val="20"/>
          <w:szCs w:val="20"/>
          <w:lang w:val="en-US"/>
        </w:rPr>
      </w:pPr>
      <w:r w:rsidRPr="00D46512">
        <w:rPr>
          <w:rFonts w:ascii="Arial" w:hAnsi="Arial" w:cs="Arial"/>
          <w:sz w:val="20"/>
          <w:szCs w:val="20"/>
          <w:lang w:val="en-US"/>
        </w:rPr>
        <w:tab/>
      </w:r>
      <w:r w:rsidR="00977DF8" w:rsidRPr="00D46512">
        <w:rPr>
          <w:rFonts w:ascii="Arial" w:hAnsi="Arial" w:cs="Arial"/>
          <w:sz w:val="20"/>
          <w:szCs w:val="20"/>
          <w:lang w:val="en-US"/>
        </w:rPr>
        <w:t xml:space="preserve">Tabel di atas menunjukkan hasil analisis regresi logistik antara nilai yang didapat dari kegiatan pembelajaran dan evaluasi pendidikan profesi dokter dengan hasil nilai ujian UKMPPD (CBT maupun OSCE). Secara keseluruhan, terdapat beberapa kegiatan yang </w:t>
      </w:r>
      <w:r w:rsidR="00977DF8" w:rsidRPr="00D46512">
        <w:rPr>
          <w:rFonts w:ascii="Arial" w:hAnsi="Arial" w:cs="Arial"/>
          <w:sz w:val="20"/>
          <w:szCs w:val="20"/>
          <w:lang w:val="id-ID"/>
        </w:rPr>
        <w:t>memiliki hubungan kausalitas</w:t>
      </w:r>
      <w:r w:rsidR="00977DF8" w:rsidRPr="00D46512">
        <w:rPr>
          <w:rFonts w:ascii="Arial" w:hAnsi="Arial" w:cs="Arial"/>
          <w:sz w:val="20"/>
          <w:szCs w:val="20"/>
          <w:lang w:val="en-US"/>
        </w:rPr>
        <w:t xml:space="preserve"> dengan hasil CBT UKMPPD yaitu ujian tulis, ujian OSLER serta nilai total dari keseluruhan kegiatan pembelajaran dan evaluasi (</w:t>
      </w:r>
      <w:r w:rsidR="00977DF8" w:rsidRPr="00D46512">
        <w:rPr>
          <w:rFonts w:ascii="Arial" w:hAnsi="Arial" w:cs="Arial"/>
          <w:i/>
          <w:sz w:val="20"/>
          <w:szCs w:val="20"/>
          <w:lang w:val="en-US"/>
        </w:rPr>
        <w:t>p</w:t>
      </w:r>
      <w:r w:rsidR="00977DF8" w:rsidRPr="00D46512">
        <w:rPr>
          <w:rFonts w:ascii="Arial" w:hAnsi="Arial" w:cs="Arial"/>
          <w:sz w:val="20"/>
          <w:szCs w:val="20"/>
          <w:lang w:val="en-US"/>
        </w:rPr>
        <w:t>=0,000;</w:t>
      </w:r>
      <w:r w:rsidR="00977DF8" w:rsidRPr="00D46512">
        <w:rPr>
          <w:rFonts w:ascii="Arial" w:hAnsi="Arial" w:cs="Arial"/>
          <w:i/>
          <w:sz w:val="20"/>
          <w:szCs w:val="20"/>
          <w:lang w:val="en-US"/>
        </w:rPr>
        <w:t xml:space="preserve"> p</w:t>
      </w:r>
      <w:r w:rsidR="00977DF8" w:rsidRPr="00D46512">
        <w:rPr>
          <w:rFonts w:ascii="Arial" w:hAnsi="Arial" w:cs="Arial"/>
          <w:sz w:val="20"/>
          <w:szCs w:val="20"/>
          <w:lang w:val="en-US"/>
        </w:rPr>
        <w:t>=0,019;</w:t>
      </w:r>
      <w:r w:rsidR="00977DF8" w:rsidRPr="00D46512">
        <w:rPr>
          <w:rFonts w:ascii="Arial" w:hAnsi="Arial" w:cs="Arial"/>
          <w:i/>
          <w:sz w:val="20"/>
          <w:szCs w:val="20"/>
          <w:lang w:val="en-US"/>
        </w:rPr>
        <w:t xml:space="preserve"> p</w:t>
      </w:r>
      <w:r w:rsidR="00977DF8" w:rsidRPr="00D46512">
        <w:rPr>
          <w:rFonts w:ascii="Arial" w:hAnsi="Arial" w:cs="Arial"/>
          <w:sz w:val="20"/>
          <w:szCs w:val="20"/>
          <w:lang w:val="en-US"/>
        </w:rPr>
        <w:t>=0,002;</w:t>
      </w:r>
      <w:r w:rsidR="00977DF8" w:rsidRPr="00D46512">
        <w:rPr>
          <w:rFonts w:ascii="Arial" w:hAnsi="Arial" w:cs="Arial"/>
          <w:i/>
          <w:sz w:val="20"/>
          <w:szCs w:val="20"/>
          <w:lang w:val="en-US"/>
        </w:rPr>
        <w:t xml:space="preserve"> </w:t>
      </w:r>
      <w:r w:rsidR="00977DF8" w:rsidRPr="00D46512">
        <w:rPr>
          <w:rFonts w:ascii="Arial" w:hAnsi="Arial" w:cs="Arial"/>
          <w:sz w:val="20"/>
          <w:szCs w:val="20"/>
          <w:lang w:val="en-US"/>
        </w:rPr>
        <w:t xml:space="preserve">secara berurutan). Sedangkan nilai kegiatan yang </w:t>
      </w:r>
      <w:r w:rsidR="00977DF8" w:rsidRPr="00D46512">
        <w:rPr>
          <w:rFonts w:ascii="Arial" w:hAnsi="Arial" w:cs="Arial"/>
          <w:sz w:val="20"/>
          <w:szCs w:val="20"/>
          <w:lang w:val="id-ID"/>
        </w:rPr>
        <w:t>memiliki hubungan kausalitas</w:t>
      </w:r>
      <w:r w:rsidR="00977DF8" w:rsidRPr="00D46512">
        <w:rPr>
          <w:rFonts w:ascii="Arial" w:hAnsi="Arial" w:cs="Arial"/>
          <w:sz w:val="20"/>
          <w:szCs w:val="20"/>
          <w:lang w:val="en-US"/>
        </w:rPr>
        <w:t xml:space="preserve"> dengan hasil nilai OSCE UKMPPD yaitu nilai mini-CEX, nilai ujian tulis akhir, nilai ujian OSLER dan nilai total kegiatan pembelajaran dan evaluasi (</w:t>
      </w:r>
      <w:r w:rsidR="00977DF8" w:rsidRPr="00D46512">
        <w:rPr>
          <w:rFonts w:ascii="Arial" w:hAnsi="Arial" w:cs="Arial"/>
          <w:i/>
          <w:sz w:val="20"/>
          <w:szCs w:val="20"/>
          <w:lang w:val="en-US"/>
        </w:rPr>
        <w:t>p</w:t>
      </w:r>
      <w:r w:rsidR="00977DF8" w:rsidRPr="00D46512">
        <w:rPr>
          <w:rFonts w:ascii="Arial" w:hAnsi="Arial" w:cs="Arial"/>
          <w:sz w:val="20"/>
          <w:szCs w:val="20"/>
          <w:lang w:val="en-US"/>
        </w:rPr>
        <w:t>=0,001;</w:t>
      </w:r>
      <w:r w:rsidR="00977DF8" w:rsidRPr="00D46512">
        <w:rPr>
          <w:rFonts w:ascii="Arial" w:hAnsi="Arial" w:cs="Arial"/>
          <w:i/>
          <w:sz w:val="20"/>
          <w:szCs w:val="20"/>
          <w:lang w:val="en-US"/>
        </w:rPr>
        <w:t xml:space="preserve"> p</w:t>
      </w:r>
      <w:r w:rsidR="00977DF8" w:rsidRPr="00D46512">
        <w:rPr>
          <w:rFonts w:ascii="Arial" w:hAnsi="Arial" w:cs="Arial"/>
          <w:sz w:val="20"/>
          <w:szCs w:val="20"/>
          <w:lang w:val="en-US"/>
        </w:rPr>
        <w:t>=0,000;</w:t>
      </w:r>
      <w:r w:rsidR="00977DF8" w:rsidRPr="00D46512">
        <w:rPr>
          <w:rFonts w:ascii="Arial" w:hAnsi="Arial" w:cs="Arial"/>
          <w:i/>
          <w:sz w:val="20"/>
          <w:szCs w:val="20"/>
          <w:lang w:val="en-US"/>
        </w:rPr>
        <w:t xml:space="preserve"> p</w:t>
      </w:r>
      <w:r w:rsidR="00977DF8" w:rsidRPr="00D46512">
        <w:rPr>
          <w:rFonts w:ascii="Arial" w:hAnsi="Arial" w:cs="Arial"/>
          <w:sz w:val="20"/>
          <w:szCs w:val="20"/>
          <w:lang w:val="en-US"/>
        </w:rPr>
        <w:t xml:space="preserve">=0,000; </w:t>
      </w:r>
      <w:r w:rsidR="00977DF8" w:rsidRPr="00D46512">
        <w:rPr>
          <w:rFonts w:ascii="Arial" w:hAnsi="Arial" w:cs="Arial"/>
          <w:i/>
          <w:sz w:val="20"/>
          <w:szCs w:val="20"/>
          <w:lang w:val="en-US"/>
        </w:rPr>
        <w:t>p</w:t>
      </w:r>
      <w:r w:rsidR="00977DF8" w:rsidRPr="00D46512">
        <w:rPr>
          <w:rFonts w:ascii="Arial" w:hAnsi="Arial" w:cs="Arial"/>
          <w:sz w:val="20"/>
          <w:szCs w:val="20"/>
          <w:lang w:val="en-US"/>
        </w:rPr>
        <w:t xml:space="preserve">=0,000; secara berurutan). Jika dilihat secara utuh, maka nilai-nilai kegiatan pembelajaran dan evaluasi selama pendidikan profesi dokter yang </w:t>
      </w:r>
      <w:r w:rsidR="00977DF8" w:rsidRPr="00D46512">
        <w:rPr>
          <w:rFonts w:ascii="Arial" w:hAnsi="Arial" w:cs="Arial"/>
          <w:sz w:val="20"/>
          <w:szCs w:val="20"/>
          <w:lang w:val="id-ID"/>
        </w:rPr>
        <w:t>memiliki hubungan kausalitas</w:t>
      </w:r>
      <w:r w:rsidR="00977DF8" w:rsidRPr="00D46512">
        <w:rPr>
          <w:rFonts w:ascii="Arial" w:hAnsi="Arial" w:cs="Arial"/>
          <w:sz w:val="20"/>
          <w:szCs w:val="20"/>
          <w:lang w:val="en-US"/>
        </w:rPr>
        <w:t xml:space="preserve"> dengan </w:t>
      </w:r>
      <w:r w:rsidR="00977DF8" w:rsidRPr="00D46512">
        <w:rPr>
          <w:rFonts w:ascii="Arial" w:hAnsi="Arial" w:cs="Arial"/>
          <w:sz w:val="20"/>
          <w:szCs w:val="20"/>
          <w:lang w:val="id-ID"/>
        </w:rPr>
        <w:t xml:space="preserve">kedua </w:t>
      </w:r>
      <w:r w:rsidR="00977DF8" w:rsidRPr="00D46512">
        <w:rPr>
          <w:rFonts w:ascii="Arial" w:hAnsi="Arial" w:cs="Arial"/>
          <w:sz w:val="20"/>
          <w:szCs w:val="20"/>
          <w:lang w:val="en-US"/>
        </w:rPr>
        <w:t xml:space="preserve">nilai akhir UKMPPD </w:t>
      </w:r>
      <w:r w:rsidR="00977DF8" w:rsidRPr="00D46512">
        <w:rPr>
          <w:rFonts w:ascii="Arial" w:hAnsi="Arial" w:cs="Arial"/>
          <w:sz w:val="20"/>
          <w:szCs w:val="20"/>
          <w:lang w:val="id-ID"/>
        </w:rPr>
        <w:t>(</w:t>
      </w:r>
      <w:r w:rsidR="00977DF8" w:rsidRPr="00D46512">
        <w:rPr>
          <w:rFonts w:ascii="Arial" w:hAnsi="Arial" w:cs="Arial"/>
          <w:sz w:val="20"/>
          <w:szCs w:val="20"/>
          <w:lang w:val="en-US"/>
        </w:rPr>
        <w:t xml:space="preserve">CBT </w:t>
      </w:r>
      <w:r w:rsidR="00977DF8" w:rsidRPr="00D46512">
        <w:rPr>
          <w:rFonts w:ascii="Arial" w:hAnsi="Arial" w:cs="Arial"/>
          <w:sz w:val="20"/>
          <w:szCs w:val="20"/>
          <w:lang w:val="id-ID"/>
        </w:rPr>
        <w:t>dan</w:t>
      </w:r>
      <w:r w:rsidR="00977DF8" w:rsidRPr="00D46512">
        <w:rPr>
          <w:rFonts w:ascii="Arial" w:hAnsi="Arial" w:cs="Arial"/>
          <w:sz w:val="20"/>
          <w:szCs w:val="20"/>
          <w:lang w:val="en-US"/>
        </w:rPr>
        <w:t xml:space="preserve"> OSCE</w:t>
      </w:r>
      <w:r w:rsidR="00977DF8" w:rsidRPr="00D46512">
        <w:rPr>
          <w:rFonts w:ascii="Arial" w:hAnsi="Arial" w:cs="Arial"/>
          <w:sz w:val="20"/>
          <w:szCs w:val="20"/>
          <w:lang w:val="id-ID"/>
        </w:rPr>
        <w:t>)</w:t>
      </w:r>
      <w:r w:rsidR="00977DF8" w:rsidRPr="00D46512">
        <w:rPr>
          <w:rFonts w:ascii="Arial" w:hAnsi="Arial" w:cs="Arial"/>
          <w:sz w:val="20"/>
          <w:szCs w:val="20"/>
          <w:lang w:val="en-US"/>
        </w:rPr>
        <w:t xml:space="preserve"> </w:t>
      </w:r>
      <w:r w:rsidR="00977DF8" w:rsidRPr="00D46512">
        <w:rPr>
          <w:rFonts w:ascii="Arial" w:hAnsi="Arial" w:cs="Arial"/>
          <w:sz w:val="20"/>
          <w:szCs w:val="20"/>
          <w:lang w:val="en-US"/>
        </w:rPr>
        <w:t>adalah nilai ujian tulis, nilai ujian OSLER dan nilai total.</w:t>
      </w:r>
    </w:p>
    <w:p w14:paraId="77AAA0ED" w14:textId="19AFD121" w:rsidR="00977DF8" w:rsidRPr="00D46512" w:rsidRDefault="00D46512" w:rsidP="00BF6CC6">
      <w:pPr>
        <w:tabs>
          <w:tab w:val="left" w:pos="851"/>
        </w:tabs>
        <w:spacing w:after="0" w:line="360" w:lineRule="auto"/>
        <w:jc w:val="both"/>
        <w:rPr>
          <w:rFonts w:ascii="Arial" w:hAnsi="Arial" w:cs="Arial"/>
          <w:b/>
          <w:bCs/>
          <w:sz w:val="20"/>
          <w:szCs w:val="20"/>
          <w:lang w:val="en-US"/>
        </w:rPr>
      </w:pPr>
      <w:r w:rsidRPr="00D46512">
        <w:rPr>
          <w:rFonts w:ascii="Arial" w:hAnsi="Arial" w:cs="Arial"/>
          <w:b/>
          <w:bCs/>
          <w:sz w:val="20"/>
          <w:szCs w:val="20"/>
          <w:lang w:val="en-US"/>
        </w:rPr>
        <w:t>PEMBAHASAN</w:t>
      </w:r>
    </w:p>
    <w:p w14:paraId="67EC9610" w14:textId="77777777" w:rsidR="00785FE1" w:rsidRPr="00D46512" w:rsidRDefault="00060723" w:rsidP="00060723">
      <w:pPr>
        <w:tabs>
          <w:tab w:val="left" w:pos="851"/>
        </w:tabs>
        <w:spacing w:after="0" w:line="360" w:lineRule="auto"/>
        <w:jc w:val="both"/>
        <w:rPr>
          <w:rFonts w:ascii="Arial" w:hAnsi="Arial" w:cs="Arial"/>
          <w:sz w:val="20"/>
          <w:szCs w:val="20"/>
          <w:lang w:val="en-US"/>
        </w:rPr>
      </w:pPr>
      <w:r w:rsidRPr="00D46512">
        <w:rPr>
          <w:rFonts w:ascii="Arial" w:hAnsi="Arial" w:cs="Arial"/>
          <w:sz w:val="20"/>
          <w:szCs w:val="20"/>
          <w:lang w:val="en-US"/>
        </w:rPr>
        <w:tab/>
      </w:r>
      <w:r w:rsidR="00785FE1" w:rsidRPr="00D46512">
        <w:rPr>
          <w:rFonts w:ascii="Arial" w:hAnsi="Arial" w:cs="Arial"/>
          <w:sz w:val="20"/>
          <w:szCs w:val="20"/>
          <w:lang w:val="en-US"/>
        </w:rPr>
        <w:t xml:space="preserve">Hasil analisis menunjukkan bahwa nilai mini-CEX tidak berhubungan dengan luaran nilai CBT UKMPPD (p=0.080). Sebaliknya hasil regresi logistik dari nilai mini-CEX terhadap nilai OSCE UKMPPD menunjukkan hasil yang signifikan dengan nilai </w:t>
      </w:r>
      <w:r w:rsidR="00785FE1" w:rsidRPr="00D46512">
        <w:rPr>
          <w:rFonts w:ascii="Arial" w:hAnsi="Arial" w:cs="Arial"/>
          <w:i/>
          <w:sz w:val="20"/>
          <w:szCs w:val="20"/>
          <w:lang w:val="en-US"/>
        </w:rPr>
        <w:t>p</w:t>
      </w:r>
      <w:r w:rsidR="00785FE1" w:rsidRPr="00D46512">
        <w:rPr>
          <w:rFonts w:ascii="Arial" w:hAnsi="Arial" w:cs="Arial"/>
          <w:sz w:val="20"/>
          <w:szCs w:val="20"/>
          <w:lang w:val="en-US"/>
        </w:rPr>
        <w:t>=0,001. hal ini menunjukkan bahwa nilai mini CEX berhubungan dengan luaran nilai OSCE UKMPPD.</w:t>
      </w:r>
      <w:r w:rsidR="003B018B" w:rsidRPr="00D46512">
        <w:rPr>
          <w:rFonts w:ascii="Arial" w:hAnsi="Arial" w:cs="Arial"/>
          <w:sz w:val="20"/>
          <w:szCs w:val="20"/>
          <w:lang w:val="en-US"/>
        </w:rPr>
        <w:t xml:space="preserve"> </w:t>
      </w:r>
      <w:r w:rsidR="00785FE1" w:rsidRPr="00D46512">
        <w:rPr>
          <w:rFonts w:ascii="Arial" w:hAnsi="Arial" w:cs="Arial"/>
          <w:sz w:val="20"/>
          <w:szCs w:val="20"/>
          <w:lang w:val="en-US"/>
        </w:rPr>
        <w:t>Mini-CEX merupakan salah satu bentuk WBA (</w:t>
      </w:r>
      <w:r w:rsidR="00785FE1" w:rsidRPr="00D46512">
        <w:rPr>
          <w:rFonts w:ascii="Arial" w:hAnsi="Arial" w:cs="Arial"/>
          <w:i/>
          <w:sz w:val="20"/>
          <w:szCs w:val="20"/>
          <w:lang w:val="en-US"/>
        </w:rPr>
        <w:t>workplace-based assessment</w:t>
      </w:r>
      <w:r w:rsidR="00785FE1" w:rsidRPr="00D46512">
        <w:rPr>
          <w:rFonts w:ascii="Arial" w:hAnsi="Arial" w:cs="Arial"/>
          <w:sz w:val="20"/>
          <w:szCs w:val="20"/>
          <w:lang w:val="en-US"/>
        </w:rPr>
        <w:t xml:space="preserve">), bentuk penilaian ini dibuat untuk menilai kemampuan kognitif sekaligus keterampilan klinis mahasiswa profesi dokter. Pada mini-CEX, peserta melakukan tugas khusus yang diminta (anamnesis, pemeriksaan fisik) untuk kemudian diberi dinilai dan diberi umpan balik oleh dosen klinis </w:t>
      </w:r>
      <w:r w:rsidR="00785FE1" w:rsidRPr="00D46512">
        <w:rPr>
          <w:rFonts w:ascii="Arial" w:hAnsi="Arial" w:cs="Arial"/>
          <w:sz w:val="20"/>
          <w:szCs w:val="20"/>
          <w:lang w:val="en-US"/>
        </w:rPr>
        <w:fldChar w:fldCharType="begin" w:fldLock="1"/>
      </w:r>
      <w:r w:rsidR="00946835" w:rsidRPr="00D46512">
        <w:rPr>
          <w:rFonts w:ascii="Arial" w:hAnsi="Arial" w:cs="Arial"/>
          <w:sz w:val="20"/>
          <w:szCs w:val="20"/>
          <w:lang w:val="en-US"/>
        </w:rPr>
        <w:instrText>ADDIN CSL_CITATION {"citationItems":[{"id":"ITEM-1","itemData":{"DOI":"10.1016/j.ijsu.2009.06.011","ISSN":"17439191","PMID":"19573630","abstract":"An increasing public demand to monitor and assure the quality of care provided by physicians and surgeons has been accompanied by a deepening appreciation within the profession of the demands of self-regulation and the need for accountability. To respond to these developments, the public and the profession have turned increasingly to assessment, both to establish initial competence and to ensure that it is maintained throughout a career. Fortunately, this comes at a time when there have been significant advances in the breadth and quality of the assessment tools available. This article provides an overview of the drivers of change in assessment which includes the educational outcomes movement, the development of technology, and advances in assessment. It then outlines the factors that are important in selecting assessment devices as well as a system for classifying the methods that are available. Finally, the drivers of change have spawned a number of trends in the assessment of competence as a surgeon. Three of them are of particular note, simulation, workplace-based assessment, and the assessment of new competences, and each is reviewed with a focus on its potential. © 2009 Surgical Associates Ltd.","author":[{"dropping-particle":"","family":"Norcini","given":"John","non-dropping-particle":"","parse-names":false,"suffix":""},{"dropping-particle":"","family":"Talati","given":"Jamsheer","non-dropping-particle":"","parse-names":false,"suffix":""}],"container-title":"International Journal of Surgery","id":"ITEM-1","issue":"4","issued":{"date-parts":[["2009"]]},"page":"313-317","publisher":"Elsevier Ltd","title":"Assessment, surgeon, and society","type":"article-journal","volume":"7"},"uris":["http://www.mendeley.com/documents/?uuid=bdb84932-0f5c-48b0-adce-b04ca864e8d8","http://www.mendeley.com/documents/?uuid=af4eba98-bc6f-49b3-98b8-37f28e4a77a1"]}],"mendeley":{"formattedCitation":"(1)","plainTextFormattedCitation":"(1)","previouslyFormattedCitation":"(1)"},"properties":{"noteIndex":0},"schema":"https://github.com/citation-style-language/schema/raw/master/csl-citation.json"}</w:instrText>
      </w:r>
      <w:r w:rsidR="00785FE1" w:rsidRPr="00D46512">
        <w:rPr>
          <w:rFonts w:ascii="Arial" w:hAnsi="Arial" w:cs="Arial"/>
          <w:sz w:val="20"/>
          <w:szCs w:val="20"/>
          <w:lang w:val="en-US"/>
        </w:rPr>
        <w:fldChar w:fldCharType="separate"/>
      </w:r>
      <w:r w:rsidR="00946835" w:rsidRPr="00D46512">
        <w:rPr>
          <w:rFonts w:ascii="Arial" w:hAnsi="Arial" w:cs="Arial"/>
          <w:sz w:val="20"/>
          <w:szCs w:val="20"/>
          <w:lang w:val="en-US"/>
        </w:rPr>
        <w:t>(1)</w:t>
      </w:r>
      <w:r w:rsidR="00785FE1" w:rsidRPr="00D46512">
        <w:rPr>
          <w:rFonts w:ascii="Arial" w:hAnsi="Arial" w:cs="Arial"/>
          <w:sz w:val="20"/>
          <w:szCs w:val="20"/>
          <w:lang w:val="en-US"/>
        </w:rPr>
        <w:fldChar w:fldCharType="end"/>
      </w:r>
      <w:r w:rsidR="00785FE1" w:rsidRPr="00D46512">
        <w:rPr>
          <w:rFonts w:ascii="Arial" w:hAnsi="Arial" w:cs="Arial"/>
          <w:sz w:val="20"/>
          <w:szCs w:val="20"/>
          <w:lang w:val="en-US"/>
        </w:rPr>
        <w:t xml:space="preserve">. Kompetensi yang dinilai pada kegiatan evaluasi mini-CEX meliputi </w:t>
      </w:r>
      <w:r w:rsidR="00785FE1" w:rsidRPr="00D46512">
        <w:rPr>
          <w:rFonts w:ascii="Arial" w:hAnsi="Arial" w:cs="Arial"/>
          <w:sz w:val="20"/>
          <w:szCs w:val="20"/>
          <w:lang w:val="en-US"/>
        </w:rPr>
        <w:lastRenderedPageBreak/>
        <w:t xml:space="preserve">keterampilan anamnesis, pemeriksaan fisik, profesionalisme, keputusan klinik, konseling, hingga organisasi dan efisiensi </w:t>
      </w:r>
      <w:r w:rsidR="00785FE1" w:rsidRPr="00D46512">
        <w:rPr>
          <w:rFonts w:ascii="Arial" w:hAnsi="Arial" w:cs="Arial"/>
          <w:sz w:val="20"/>
          <w:szCs w:val="20"/>
          <w:lang w:val="en-US"/>
        </w:rPr>
        <w:fldChar w:fldCharType="begin" w:fldLock="1"/>
      </w:r>
      <w:r w:rsidR="00946835" w:rsidRPr="00D46512">
        <w:rPr>
          <w:rFonts w:ascii="Arial" w:hAnsi="Arial" w:cs="Arial"/>
          <w:sz w:val="20"/>
          <w:szCs w:val="20"/>
          <w:lang w:val="en-US"/>
        </w:rPr>
        <w:instrText>ADDIN CSL_CITATION {"citationItems":[{"id":"ITEM-1","itemData":{"author":[{"dropping-particle":"","family":"Lisiswanti","given":"Rika","non-dropping-particle":"","parse-names":false,"suffix":""}],"container-title":"Jurnal Kedokteran","id":"ITEM-1","issue":"2","issued":{"date-parts":[["2012"]]},"title":"Dasar-dasar Pemilihan Assessment di Pendidikan Kedokteran","type":"article-journal","volume":"2"},"uris":["http://www.mendeley.com/documents/?uuid=ba421e00-b43b-4d65-8de5-2c1ee4c5df7c","http://www.mendeley.com/documents/?uuid=2110ee60-42a2-4354-9e95-d929c1677890"]},{"id":"ITEM-2","itemData":{"DOI":"10.22146/jpki.25131","ISSN":"2252-5084","author":[{"dropping-particle":"","family":"K","given":"Gusti Raditya","non-dropping-particle":"","parse-names":false,"suffix":""},{"dropping-particle":"","family":"Suhoyo","given":"Yoyo","non-dropping-particle":"","parse-names":false,"suffix":""},{"dropping-particle":"","family":"Hadianto","given":"Tridjoko","non-dropping-particle":"","parse-names":false,"suffix":""}],"container-title":"Jurnal Pendidikan Kedokteran Indonesia","id":"ITEM-2","issue":"2","issued":{"date-parts":[["2012"]]},"page":"68-74","title":"Persepsi Mahasiswa terhadap Pelaksanaan Mini Clinical Examination Excercise (Mini-CEX) pada Program Pendidikan Kepaniteraan Klinik","type":"article-journal","volume":"1"},"uris":["http://www.mendeley.com/documents/?uuid=08a204ba-f982-49da-9be6-5f09d4892292","http://www.mendeley.com/documents/?uuid=b664130f-5c12-47ec-813b-d232d468e087"]}],"mendeley":{"formattedCitation":"(2,3)","plainTextFormattedCitation":"(2,3)","previouslyFormattedCitation":"(2,3)"},"properties":{"noteIndex":0},"schema":"https://github.com/citation-style-language/schema/raw/master/csl-citation.json"}</w:instrText>
      </w:r>
      <w:r w:rsidR="00785FE1" w:rsidRPr="00D46512">
        <w:rPr>
          <w:rFonts w:ascii="Arial" w:hAnsi="Arial" w:cs="Arial"/>
          <w:sz w:val="20"/>
          <w:szCs w:val="20"/>
          <w:lang w:val="en-US"/>
        </w:rPr>
        <w:fldChar w:fldCharType="separate"/>
      </w:r>
      <w:r w:rsidR="00946835" w:rsidRPr="00D46512">
        <w:rPr>
          <w:rFonts w:ascii="Arial" w:hAnsi="Arial" w:cs="Arial"/>
          <w:sz w:val="20"/>
          <w:szCs w:val="20"/>
          <w:lang w:val="en-US"/>
        </w:rPr>
        <w:t>(2,3)</w:t>
      </w:r>
      <w:r w:rsidR="00785FE1" w:rsidRPr="00D46512">
        <w:rPr>
          <w:rFonts w:ascii="Arial" w:hAnsi="Arial" w:cs="Arial"/>
          <w:sz w:val="20"/>
          <w:szCs w:val="20"/>
          <w:lang w:val="en-US"/>
        </w:rPr>
        <w:fldChar w:fldCharType="end"/>
      </w:r>
      <w:r w:rsidR="00785FE1" w:rsidRPr="00D46512">
        <w:rPr>
          <w:rFonts w:ascii="Arial" w:hAnsi="Arial" w:cs="Arial"/>
          <w:sz w:val="20"/>
          <w:szCs w:val="20"/>
          <w:lang w:val="en-US"/>
        </w:rPr>
        <w:t>. Mini-CEX pada piramida Miller menempati tingkat tertinggi yaitu ‘</w:t>
      </w:r>
      <w:r w:rsidR="00785FE1" w:rsidRPr="00D46512">
        <w:rPr>
          <w:rFonts w:ascii="Arial" w:hAnsi="Arial" w:cs="Arial"/>
          <w:i/>
          <w:sz w:val="20"/>
          <w:szCs w:val="20"/>
          <w:lang w:val="en-US"/>
        </w:rPr>
        <w:t>does</w:t>
      </w:r>
      <w:r w:rsidR="00785FE1" w:rsidRPr="00D46512">
        <w:rPr>
          <w:rFonts w:ascii="Arial" w:hAnsi="Arial" w:cs="Arial"/>
          <w:sz w:val="20"/>
          <w:szCs w:val="20"/>
          <w:lang w:val="en-US"/>
        </w:rPr>
        <w:t>’, dimana penilaian ini menilai kemampuan mahasiswa profesi dalam melakukan tindakan atau performa yang mendekati praktik kehidupan nyata</w:t>
      </w:r>
      <w:r w:rsidR="00785FE1" w:rsidRPr="00D46512">
        <w:rPr>
          <w:rFonts w:ascii="Arial" w:hAnsi="Arial" w:cs="Arial"/>
          <w:sz w:val="20"/>
          <w:szCs w:val="20"/>
          <w:lang w:val="en-US"/>
        </w:rPr>
        <w:fldChar w:fldCharType="begin" w:fldLock="1"/>
      </w:r>
      <w:r w:rsidR="00946835" w:rsidRPr="00D46512">
        <w:rPr>
          <w:rFonts w:ascii="Arial" w:hAnsi="Arial" w:cs="Arial"/>
          <w:sz w:val="20"/>
          <w:szCs w:val="20"/>
          <w:lang w:val="en-US"/>
        </w:rPr>
        <w:instrText>ADDIN CSL_CITATION {"citationItems":[{"id":"ITEM-1","itemData":{"author":[{"dropping-particle":"","family":"Lisiswanti","given":"Rika","non-dropping-particle":"","parse-names":false,"suffix":""}],"container-title":"Jurnal Kedokteran","id":"ITEM-1","issue":"2","issued":{"date-parts":[["2012"]]},"title":"Dasar-dasar Pemilihan Assessment di Pendidikan Kedokteran","type":"article-journal","volume":"2"},"uris":["http://www.mendeley.com/documents/?uuid=2110ee60-42a2-4354-9e95-d929c1677890","http://www.mendeley.com/documents/?uuid=ba421e00-b43b-4d65-8de5-2c1ee4c5df7c"]}],"mendeley":{"formattedCitation":"(2)","manualFormatting":" (Lisiswanti, 2012)","plainTextFormattedCitation":"(2)","previouslyFormattedCitation":"(2)"},"properties":{"noteIndex":0},"schema":"https://github.com/citation-style-language/schema/raw/master/csl-citation.json"}</w:instrText>
      </w:r>
      <w:r w:rsidR="00785FE1" w:rsidRPr="00D46512">
        <w:rPr>
          <w:rFonts w:ascii="Arial" w:hAnsi="Arial" w:cs="Arial"/>
          <w:sz w:val="20"/>
          <w:szCs w:val="20"/>
          <w:lang w:val="en-US"/>
        </w:rPr>
        <w:fldChar w:fldCharType="separate"/>
      </w:r>
      <w:r w:rsidR="00785FE1" w:rsidRPr="00D46512">
        <w:rPr>
          <w:rFonts w:ascii="Arial" w:hAnsi="Arial" w:cs="Arial"/>
          <w:sz w:val="20"/>
          <w:szCs w:val="20"/>
          <w:lang w:val="en-US"/>
        </w:rPr>
        <w:t xml:space="preserve"> (Lisiswanti, 2012)</w:t>
      </w:r>
      <w:r w:rsidR="00785FE1" w:rsidRPr="00D46512">
        <w:rPr>
          <w:rFonts w:ascii="Arial" w:hAnsi="Arial" w:cs="Arial"/>
          <w:sz w:val="20"/>
          <w:szCs w:val="20"/>
          <w:lang w:val="en-US"/>
        </w:rPr>
        <w:fldChar w:fldCharType="end"/>
      </w:r>
      <w:r w:rsidR="00785FE1" w:rsidRPr="00D46512">
        <w:rPr>
          <w:rFonts w:ascii="Arial" w:hAnsi="Arial" w:cs="Arial"/>
          <w:sz w:val="20"/>
          <w:szCs w:val="20"/>
          <w:lang w:val="en-US"/>
        </w:rPr>
        <w:t>.</w:t>
      </w:r>
      <w:r w:rsidR="003B018B" w:rsidRPr="00D46512">
        <w:rPr>
          <w:rFonts w:ascii="Arial" w:hAnsi="Arial" w:cs="Arial"/>
          <w:sz w:val="20"/>
          <w:szCs w:val="20"/>
          <w:lang w:val="en-US"/>
        </w:rPr>
        <w:t xml:space="preserve"> </w:t>
      </w:r>
      <w:r w:rsidR="00785FE1" w:rsidRPr="00D46512">
        <w:rPr>
          <w:rFonts w:ascii="Arial" w:hAnsi="Arial" w:cs="Arial"/>
          <w:sz w:val="20"/>
          <w:szCs w:val="20"/>
          <w:lang w:val="en-US"/>
        </w:rPr>
        <w:t xml:space="preserve">Kompetensi yang dinilai pada mini-CEX sangat mirip dengan 8 </w:t>
      </w:r>
      <w:r w:rsidR="00785FE1" w:rsidRPr="00D46512">
        <w:rPr>
          <w:rFonts w:ascii="Arial" w:hAnsi="Arial" w:cs="Arial"/>
          <w:sz w:val="20"/>
          <w:szCs w:val="20"/>
          <w:lang w:val="id-ID"/>
        </w:rPr>
        <w:t xml:space="preserve">area </w:t>
      </w:r>
      <w:r w:rsidR="00785FE1" w:rsidRPr="00D46512">
        <w:rPr>
          <w:rFonts w:ascii="Arial" w:hAnsi="Arial" w:cs="Arial"/>
          <w:sz w:val="20"/>
          <w:szCs w:val="20"/>
          <w:lang w:val="en-US"/>
        </w:rPr>
        <w:t>keterampilan klinis yang dinilai pada OSCE. Sehingga sesuai jika hasil analisis regresi menunjukkan bahwa nilai mini-CEX berhubungan dengan nilai OSCE UKMPPD. Sedangkan CBT UKMPPD yang berfokus pada pengetahuan dasar hanya bagian kecil dari penilaian mini-CEX, sehingga nilai mini-CEX tidak representatif untuk menunjukkan kemampuan kognitif dari mahasiswa profesi dokter.</w:t>
      </w:r>
    </w:p>
    <w:p w14:paraId="7A45C84A" w14:textId="77777777" w:rsidR="00121F36" w:rsidRPr="00D46512" w:rsidRDefault="00060723" w:rsidP="00060723">
      <w:pPr>
        <w:tabs>
          <w:tab w:val="left" w:pos="851"/>
        </w:tabs>
        <w:spacing w:after="0" w:line="360" w:lineRule="auto"/>
        <w:jc w:val="both"/>
        <w:rPr>
          <w:rFonts w:ascii="Arial" w:hAnsi="Arial" w:cs="Arial"/>
          <w:sz w:val="20"/>
          <w:szCs w:val="20"/>
          <w:lang w:val="en-US"/>
        </w:rPr>
      </w:pPr>
      <w:r w:rsidRPr="00D46512">
        <w:rPr>
          <w:rFonts w:ascii="Arial" w:hAnsi="Arial" w:cs="Arial"/>
          <w:sz w:val="20"/>
          <w:szCs w:val="20"/>
          <w:lang w:val="en-US"/>
        </w:rPr>
        <w:tab/>
      </w:r>
      <w:r w:rsidR="00121F36" w:rsidRPr="00D46512">
        <w:rPr>
          <w:rFonts w:ascii="Arial" w:hAnsi="Arial" w:cs="Arial"/>
          <w:sz w:val="20"/>
          <w:szCs w:val="20"/>
          <w:lang w:val="en-US"/>
        </w:rPr>
        <w:t>N</w:t>
      </w:r>
      <w:r w:rsidR="00A057AB" w:rsidRPr="00D46512">
        <w:rPr>
          <w:rFonts w:ascii="Arial" w:hAnsi="Arial" w:cs="Arial"/>
          <w:sz w:val="20"/>
          <w:szCs w:val="20"/>
          <w:lang w:val="en-US"/>
        </w:rPr>
        <w:t>ilai tutorial klinik tidak berhubungan dengan luaran nilai CBT UKMPPD</w:t>
      </w:r>
      <w:r w:rsidR="00121F36" w:rsidRPr="00D46512">
        <w:rPr>
          <w:rFonts w:ascii="Arial" w:hAnsi="Arial" w:cs="Arial"/>
          <w:sz w:val="20"/>
          <w:szCs w:val="20"/>
          <w:lang w:val="en-US"/>
        </w:rPr>
        <w:t xml:space="preserve"> maupun OSCE (p=0,651; p=0,185). Tutorial klinik adalah suatu kegiatan </w:t>
      </w:r>
      <w:r w:rsidR="00121F36" w:rsidRPr="00D46512">
        <w:rPr>
          <w:rFonts w:ascii="Arial" w:hAnsi="Arial" w:cs="Arial"/>
          <w:i/>
          <w:sz w:val="20"/>
          <w:szCs w:val="20"/>
          <w:lang w:val="en-US"/>
        </w:rPr>
        <w:t>problem-based learning</w:t>
      </w:r>
      <w:r w:rsidR="00121F36" w:rsidRPr="00D46512">
        <w:rPr>
          <w:rFonts w:ascii="Arial" w:hAnsi="Arial" w:cs="Arial"/>
          <w:sz w:val="20"/>
          <w:szCs w:val="20"/>
          <w:lang w:val="en-US"/>
        </w:rPr>
        <w:t xml:space="preserve"> (PBL) pada situasi pendidikan klinik </w:t>
      </w:r>
      <w:r w:rsidR="00121F36" w:rsidRPr="00D46512">
        <w:rPr>
          <w:rFonts w:ascii="Arial" w:hAnsi="Arial" w:cs="Arial"/>
          <w:sz w:val="20"/>
          <w:szCs w:val="20"/>
          <w:lang w:val="en-US"/>
        </w:rPr>
        <w:fldChar w:fldCharType="begin" w:fldLock="1"/>
      </w:r>
      <w:r w:rsidR="00946835" w:rsidRPr="00D46512">
        <w:rPr>
          <w:rFonts w:ascii="Arial" w:hAnsi="Arial" w:cs="Arial"/>
          <w:sz w:val="20"/>
          <w:szCs w:val="20"/>
          <w:lang w:val="en-US"/>
        </w:rPr>
        <w:instrText>ADDIN CSL_CITATION {"citationItems":[{"id":"ITEM-1","itemData":{"author":[{"dropping-particle":"","family":"Sari","given":"Dian Puspita","non-dropping-particle":"","parse-names":false,"suffix":""},{"dropping-particle":"","family":"Susani","given":"Yoga Pamungkas","non-dropping-particle":"","parse-names":false,"suffix":""}],"container-title":"Jurnal Kedokteran","id":"ITEM-1","issue":"3","issued":{"date-parts":[["2019"]]},"page":"18-23","title":"Revisi dan Implementasi Panduan Rotasi Klinik (Logbook)-Studi Kasus dalam Pendidikan Klinik di FK Universitas Mataram","type":"article-journal","volume":"8"},"uris":["http://www.mendeley.com/documents/?uuid=72605638-d430-4770-8c26-01accf1c81ea","http://www.mendeley.com/documents/?uuid=2a118b57-2bdd-489f-b624-96480bec548b"]}],"mendeley":{"formattedCitation":"(4)","plainTextFormattedCitation":"(4)","previouslyFormattedCitation":"(4)"},"properties":{"noteIndex":0},"schema":"https://github.com/citation-style-language/schema/raw/master/csl-citation.json"}</w:instrText>
      </w:r>
      <w:r w:rsidR="00121F36" w:rsidRPr="00D46512">
        <w:rPr>
          <w:rFonts w:ascii="Arial" w:hAnsi="Arial" w:cs="Arial"/>
          <w:sz w:val="20"/>
          <w:szCs w:val="20"/>
          <w:lang w:val="en-US"/>
        </w:rPr>
        <w:fldChar w:fldCharType="separate"/>
      </w:r>
      <w:r w:rsidR="00946835" w:rsidRPr="00D46512">
        <w:rPr>
          <w:rFonts w:ascii="Arial" w:hAnsi="Arial" w:cs="Arial"/>
          <w:sz w:val="20"/>
          <w:szCs w:val="20"/>
          <w:lang w:val="en-US"/>
        </w:rPr>
        <w:t>(4)</w:t>
      </w:r>
      <w:r w:rsidR="00121F36" w:rsidRPr="00D46512">
        <w:rPr>
          <w:rFonts w:ascii="Arial" w:hAnsi="Arial" w:cs="Arial"/>
          <w:sz w:val="20"/>
          <w:szCs w:val="20"/>
          <w:lang w:val="en-US"/>
        </w:rPr>
        <w:fldChar w:fldCharType="end"/>
      </w:r>
      <w:r w:rsidR="00121F36" w:rsidRPr="00D46512">
        <w:rPr>
          <w:rFonts w:ascii="Arial" w:hAnsi="Arial" w:cs="Arial"/>
          <w:sz w:val="20"/>
          <w:szCs w:val="20"/>
          <w:lang w:val="en-US"/>
        </w:rPr>
        <w:t xml:space="preserve">. Pada tutorial klinik, mahasiswa sebagai partisipan aktif mendiskusikan kasus tertentu yang telah ditentukan sebelumnya, dengan dosen pembimbing klinik sebagai fasilitator diskusi serta pengajar yang dapat mengarahkan dan membimbing jalannya diskusi. Kegiatan PBL ini merupakan pendekatan yang lebih efektif untuk mengukur luaran pembelajaran yang fokus pada retensi pengetahuan jangka-panjang, penilaian keterampilan klinis maupun campuran antara pengetahuan dasar dan keterampilan </w:t>
      </w:r>
      <w:r w:rsidR="00121F36" w:rsidRPr="00D46512">
        <w:rPr>
          <w:rFonts w:ascii="Arial" w:hAnsi="Arial" w:cs="Arial"/>
          <w:sz w:val="20"/>
          <w:szCs w:val="20"/>
          <w:lang w:val="en-US"/>
        </w:rPr>
        <w:fldChar w:fldCharType="begin" w:fldLock="1"/>
      </w:r>
      <w:r w:rsidR="00946835" w:rsidRPr="00D46512">
        <w:rPr>
          <w:rFonts w:ascii="Arial" w:hAnsi="Arial" w:cs="Arial"/>
          <w:sz w:val="20"/>
          <w:szCs w:val="20"/>
          <w:lang w:val="en-US"/>
        </w:rPr>
        <w:instrText>ADDIN CSL_CITATION {"citationItems":[{"id":"ITEM-1","itemData":{"DOI":"10.1016/j.hpe.2016.01.004","ISSN":"24523011","abstract":"In this review, we provide an overview of the process of problem-based learning (PBL) and the studies examining the effectiveness of PBL. We also discuss a number of naturalistic and empirical studies that have examined the process of PBL and how its various components impact students’ learning. We conclude that the studies comparing the relative effectiveness of PBL are generally consistent in demonstrating its superior efficacy for longer-term knowledge retention and in the application of knowledge. Studies on the process of PBL, however, are still inconclusive as to which component(s) of PBL most significantly impact students’ learning, although causal studies have demonstrated that all the phases of PBL are necessary in influencing students’ learning outcomes.","author":[{"dropping-particle":"","family":"Yew","given":"Elaine H.J.","non-dropping-particle":"","parse-names":false,"suffix":""},{"dropping-particle":"","family":"Goh","given":"Karen","non-dropping-particle":"","parse-names":false,"suffix":""}],"container-title":"Health Professions Education","id":"ITEM-1","issue":"2","issued":{"date-parts":[["2016"]]},"page":"75-79","publisher":"Elsevier","title":"Problem-Based Learning: An Overview of its Process and Impact on Learning","type":"article-journal","volume":"2"},"uris":["http://www.mendeley.com/documents/?uuid=6a61f254-2abd-4e8f-8e8d-ef964731ef72","http://www.mendeley.com/documents/?uuid=f978b032-e1b4-4e78-9932-8f274e56a6b4"]}],"mendeley":{"formattedCitation":"(5)","plainTextFormattedCitation":"(5)","previouslyFormattedCitation":"(5)"},"properties":{"noteIndex":0},"schema":"https://github.com/citation-style-language/schema/raw/master/csl-citation.json"}</w:instrText>
      </w:r>
      <w:r w:rsidR="00121F36" w:rsidRPr="00D46512">
        <w:rPr>
          <w:rFonts w:ascii="Arial" w:hAnsi="Arial" w:cs="Arial"/>
          <w:sz w:val="20"/>
          <w:szCs w:val="20"/>
          <w:lang w:val="en-US"/>
        </w:rPr>
        <w:fldChar w:fldCharType="separate"/>
      </w:r>
      <w:r w:rsidR="00946835" w:rsidRPr="00D46512">
        <w:rPr>
          <w:rFonts w:ascii="Arial" w:hAnsi="Arial" w:cs="Arial"/>
          <w:sz w:val="20"/>
          <w:szCs w:val="20"/>
          <w:lang w:val="en-US"/>
        </w:rPr>
        <w:t>(5)</w:t>
      </w:r>
      <w:r w:rsidR="00121F36" w:rsidRPr="00D46512">
        <w:rPr>
          <w:rFonts w:ascii="Arial" w:hAnsi="Arial" w:cs="Arial"/>
          <w:sz w:val="20"/>
          <w:szCs w:val="20"/>
          <w:lang w:val="en-US"/>
        </w:rPr>
        <w:fldChar w:fldCharType="end"/>
      </w:r>
      <w:r w:rsidR="00121F36" w:rsidRPr="00D46512">
        <w:rPr>
          <w:rFonts w:ascii="Arial" w:hAnsi="Arial" w:cs="Arial"/>
          <w:sz w:val="20"/>
          <w:szCs w:val="20"/>
          <w:lang w:val="en-US"/>
        </w:rPr>
        <w:t>. Sesuai dengan pengertian dari tutorial klinik di atas, maka jika disesuaikan dengan piramida Miller, tutorial klinik berada pada tingkatan penilaian yang pertama yaitu ‘</w:t>
      </w:r>
      <w:r w:rsidR="00121F36" w:rsidRPr="00D46512">
        <w:rPr>
          <w:rFonts w:ascii="Arial" w:hAnsi="Arial" w:cs="Arial"/>
          <w:i/>
          <w:sz w:val="20"/>
          <w:szCs w:val="20"/>
          <w:lang w:val="en-US"/>
        </w:rPr>
        <w:t>knows</w:t>
      </w:r>
      <w:r w:rsidR="00121F36" w:rsidRPr="00D46512">
        <w:rPr>
          <w:rFonts w:ascii="Arial" w:hAnsi="Arial" w:cs="Arial"/>
          <w:sz w:val="20"/>
          <w:szCs w:val="20"/>
          <w:lang w:val="en-US"/>
        </w:rPr>
        <w:t>’ dan ‘</w:t>
      </w:r>
      <w:r w:rsidR="00121F36" w:rsidRPr="00D46512">
        <w:rPr>
          <w:rFonts w:ascii="Arial" w:hAnsi="Arial" w:cs="Arial"/>
          <w:i/>
          <w:sz w:val="20"/>
          <w:szCs w:val="20"/>
          <w:lang w:val="en-US"/>
        </w:rPr>
        <w:t>knows how</w:t>
      </w:r>
      <w:r w:rsidR="00121F36" w:rsidRPr="00D46512">
        <w:rPr>
          <w:rFonts w:ascii="Arial" w:hAnsi="Arial" w:cs="Arial"/>
          <w:sz w:val="20"/>
          <w:szCs w:val="20"/>
          <w:lang w:val="en-US"/>
        </w:rPr>
        <w:t xml:space="preserve">’ yang bertujuan untuk </w:t>
      </w:r>
      <w:r w:rsidR="00121F36" w:rsidRPr="00D46512">
        <w:rPr>
          <w:rFonts w:ascii="Arial" w:hAnsi="Arial" w:cs="Arial"/>
          <w:sz w:val="20"/>
          <w:szCs w:val="20"/>
          <w:lang w:val="en-US"/>
        </w:rPr>
        <w:t xml:space="preserve">menilai pengetahuan dasar disertai aplikasinya </w:t>
      </w:r>
      <w:r w:rsidR="00121F36" w:rsidRPr="00D46512">
        <w:rPr>
          <w:rFonts w:ascii="Arial" w:hAnsi="Arial" w:cs="Arial"/>
          <w:sz w:val="20"/>
          <w:szCs w:val="20"/>
          <w:lang w:val="en-US"/>
        </w:rPr>
        <w:fldChar w:fldCharType="begin" w:fldLock="1"/>
      </w:r>
      <w:r w:rsidR="00946835" w:rsidRPr="00D46512">
        <w:rPr>
          <w:rFonts w:ascii="Arial" w:hAnsi="Arial" w:cs="Arial"/>
          <w:sz w:val="20"/>
          <w:szCs w:val="20"/>
          <w:lang w:val="en-US"/>
        </w:rPr>
        <w:instrText>ADDIN CSL_CITATION {"citationItems":[{"id":"ITEM-1","itemData":{"author":[{"dropping-particle":"","family":"Lisiswanti","given":"Rika","non-dropping-particle":"","parse-names":false,"suffix":""}],"container-title":"Jurnal Kedokteran","id":"ITEM-1","issue":"2","issued":{"date-parts":[["2012"]]},"title":"Dasar-dasar Pemilihan Assessment di Pendidikan Kedokteran","type":"article-journal","volume":"2"},"uris":["http://www.mendeley.com/documents/?uuid=2110ee60-42a2-4354-9e95-d929c1677890","http://www.mendeley.com/documents/?uuid=ba421e00-b43b-4d65-8de5-2c1ee4c5df7c"]}],"mendeley":{"formattedCitation":"(2)","plainTextFormattedCitation":"(2)","previouslyFormattedCitation":"(2)"},"properties":{"noteIndex":0},"schema":"https://github.com/citation-style-language/schema/raw/master/csl-citation.json"}</w:instrText>
      </w:r>
      <w:r w:rsidR="00121F36" w:rsidRPr="00D46512">
        <w:rPr>
          <w:rFonts w:ascii="Arial" w:hAnsi="Arial" w:cs="Arial"/>
          <w:sz w:val="20"/>
          <w:szCs w:val="20"/>
          <w:lang w:val="en-US"/>
        </w:rPr>
        <w:fldChar w:fldCharType="separate"/>
      </w:r>
      <w:r w:rsidR="00946835" w:rsidRPr="00D46512">
        <w:rPr>
          <w:rFonts w:ascii="Arial" w:hAnsi="Arial" w:cs="Arial"/>
          <w:sz w:val="20"/>
          <w:szCs w:val="20"/>
          <w:lang w:val="en-US"/>
        </w:rPr>
        <w:t>(2)</w:t>
      </w:r>
      <w:r w:rsidR="00121F36" w:rsidRPr="00D46512">
        <w:rPr>
          <w:rFonts w:ascii="Arial" w:hAnsi="Arial" w:cs="Arial"/>
          <w:sz w:val="20"/>
          <w:szCs w:val="20"/>
          <w:lang w:val="en-US"/>
        </w:rPr>
        <w:fldChar w:fldCharType="end"/>
      </w:r>
      <w:r w:rsidR="00121F36" w:rsidRPr="00D46512">
        <w:rPr>
          <w:rFonts w:ascii="Arial" w:hAnsi="Arial" w:cs="Arial"/>
          <w:sz w:val="20"/>
          <w:szCs w:val="20"/>
          <w:lang w:val="en-US"/>
        </w:rPr>
        <w:t xml:space="preserve">. Istilah “tutorial” sebenarnya telah digunakan oleh dosen klinik, namun persepsi mengenai kegiatan ini belum sesuai dengan prinsip pembelajaran kolaboratif dan interval belajar mandiri yang terkandung dalam tutorial klinik. Tutorial klinik selama ini dipahami sebagai proses mengajar dengan peran dosen lebih dominan </w:t>
      </w:r>
      <w:r w:rsidR="00121F36" w:rsidRPr="00D46512">
        <w:rPr>
          <w:rFonts w:ascii="Arial" w:hAnsi="Arial" w:cs="Arial"/>
          <w:sz w:val="20"/>
          <w:szCs w:val="20"/>
          <w:lang w:val="en-US"/>
        </w:rPr>
        <w:fldChar w:fldCharType="begin" w:fldLock="1"/>
      </w:r>
      <w:r w:rsidR="00946835" w:rsidRPr="00D46512">
        <w:rPr>
          <w:rFonts w:ascii="Arial" w:hAnsi="Arial" w:cs="Arial"/>
          <w:sz w:val="20"/>
          <w:szCs w:val="20"/>
          <w:lang w:val="en-US"/>
        </w:rPr>
        <w:instrText>ADDIN CSL_CITATION {"citationItems":[{"id":"ITEM-1","itemData":{"author":[{"dropping-particle":"","family":"Sari","given":"Dian Puspita","non-dropping-particle":"","parse-names":false,"suffix":""},{"dropping-particle":"","family":"Susani","given":"Yoga Pamungkas","non-dropping-particle":"","parse-names":false,"suffix":""}],"container-title":"Jurnal Kedokteran","id":"ITEM-1","issue":"3","issued":{"date-parts":[["2019"]]},"page":"18-23","title":"Revisi dan Implementasi Panduan Rotasi Klinik (Logbook)-Studi Kasus dalam Pendidikan Klinik di FK Universitas Mataram","type":"article-journal","volume":"8"},"uris":["http://www.mendeley.com/documents/?uuid=2a118b57-2bdd-489f-b624-96480bec548b","http://www.mendeley.com/documents/?uuid=72605638-d430-4770-8c26-01accf1c81ea"]}],"mendeley":{"formattedCitation":"(4)","plainTextFormattedCitation":"(4)","previouslyFormattedCitation":"(4)"},"properties":{"noteIndex":0},"schema":"https://github.com/citation-style-language/schema/raw/master/csl-citation.json"}</w:instrText>
      </w:r>
      <w:r w:rsidR="00121F36" w:rsidRPr="00D46512">
        <w:rPr>
          <w:rFonts w:ascii="Arial" w:hAnsi="Arial" w:cs="Arial"/>
          <w:sz w:val="20"/>
          <w:szCs w:val="20"/>
          <w:lang w:val="en-US"/>
        </w:rPr>
        <w:fldChar w:fldCharType="separate"/>
      </w:r>
      <w:r w:rsidR="00946835" w:rsidRPr="00D46512">
        <w:rPr>
          <w:rFonts w:ascii="Arial" w:hAnsi="Arial" w:cs="Arial"/>
          <w:sz w:val="20"/>
          <w:szCs w:val="20"/>
          <w:lang w:val="en-US"/>
        </w:rPr>
        <w:t>(4)</w:t>
      </w:r>
      <w:r w:rsidR="00121F36" w:rsidRPr="00D46512">
        <w:rPr>
          <w:rFonts w:ascii="Arial" w:hAnsi="Arial" w:cs="Arial"/>
          <w:sz w:val="20"/>
          <w:szCs w:val="20"/>
          <w:lang w:val="en-US"/>
        </w:rPr>
        <w:fldChar w:fldCharType="end"/>
      </w:r>
      <w:r w:rsidR="00121F36" w:rsidRPr="00D46512">
        <w:rPr>
          <w:rFonts w:ascii="Arial" w:hAnsi="Arial" w:cs="Arial"/>
          <w:sz w:val="20"/>
          <w:szCs w:val="20"/>
          <w:lang w:val="en-US"/>
        </w:rPr>
        <w:t>. Hal ini menyebabkan hasil penilaian dari tutorial klinik menjadi tidak valid dan tidak representatif untuk menggambarkan kemampuan kognitif maupun kemampuan klinis mahasiswa profesi dokter. Sesuai dengan hasil analisis ini bahwa nilai tutorial klinik tidak berhubungan dengan nilai UKMPPD baik CBT maupun OSCE.</w:t>
      </w:r>
    </w:p>
    <w:p w14:paraId="6221AEF9" w14:textId="77777777" w:rsidR="00881757" w:rsidRPr="00D46512" w:rsidRDefault="00060723" w:rsidP="00060723">
      <w:pPr>
        <w:tabs>
          <w:tab w:val="left" w:pos="851"/>
        </w:tabs>
        <w:spacing w:after="0" w:line="360" w:lineRule="auto"/>
        <w:jc w:val="both"/>
        <w:rPr>
          <w:rFonts w:ascii="Arial" w:hAnsi="Arial" w:cs="Arial"/>
          <w:sz w:val="20"/>
          <w:szCs w:val="20"/>
          <w:lang w:val="en-US"/>
        </w:rPr>
      </w:pPr>
      <w:r w:rsidRPr="00D46512">
        <w:rPr>
          <w:rFonts w:ascii="Arial" w:hAnsi="Arial" w:cs="Arial"/>
          <w:sz w:val="20"/>
          <w:szCs w:val="20"/>
          <w:lang w:val="en-US"/>
        </w:rPr>
        <w:tab/>
      </w:r>
      <w:r w:rsidR="00881757" w:rsidRPr="00D46512">
        <w:rPr>
          <w:rFonts w:ascii="Arial" w:hAnsi="Arial" w:cs="Arial"/>
          <w:sz w:val="20"/>
          <w:szCs w:val="20"/>
          <w:lang w:val="en-US"/>
        </w:rPr>
        <w:t>Ujian tulis pada tiap akhir stase merupakan bentuk penilaian dengan menggunakan MCQs (</w:t>
      </w:r>
      <w:r w:rsidR="00881757" w:rsidRPr="00D46512">
        <w:rPr>
          <w:rFonts w:ascii="Arial" w:hAnsi="Arial" w:cs="Arial"/>
          <w:i/>
          <w:sz w:val="20"/>
          <w:szCs w:val="20"/>
          <w:lang w:val="en-US"/>
        </w:rPr>
        <w:t>multiple choice questions</w:t>
      </w:r>
      <w:r w:rsidR="00881757" w:rsidRPr="00D46512">
        <w:rPr>
          <w:rFonts w:ascii="Arial" w:hAnsi="Arial" w:cs="Arial"/>
          <w:sz w:val="20"/>
          <w:szCs w:val="20"/>
          <w:lang w:val="en-US"/>
        </w:rPr>
        <w:t xml:space="preserve">). Bentuk penilaian ini merupakan bentuk paling sering dari penilaian terhadap pengetahuan dasar. Bentuk penilaian ini dapat menilai pengetahuan dasar peserta secara luas dalam waktu yang cukup singkat </w:t>
      </w:r>
      <w:r w:rsidR="00881757" w:rsidRPr="00D46512">
        <w:rPr>
          <w:rFonts w:ascii="Arial" w:hAnsi="Arial" w:cs="Arial"/>
          <w:sz w:val="20"/>
          <w:szCs w:val="20"/>
          <w:lang w:val="en-US"/>
        </w:rPr>
        <w:fldChar w:fldCharType="begin" w:fldLock="1"/>
      </w:r>
      <w:r w:rsidR="00946835" w:rsidRPr="00D46512">
        <w:rPr>
          <w:rFonts w:ascii="Arial" w:hAnsi="Arial" w:cs="Arial"/>
          <w:sz w:val="20"/>
          <w:szCs w:val="20"/>
          <w:lang w:val="en-US"/>
        </w:rPr>
        <w:instrText>ADDIN CSL_CITATION {"citationItems":[{"id":"ITEM-1","itemData":{"DOI":"10.1016/j.ijsu.2009.06.011","ISSN":"17439191","PMID":"19573630","abstract":"An increasing public demand to monitor and assure the quality of care provided by physicians and surgeons has been accompanied by a deepening appreciation within the profession of the demands of self-regulation and the need for accountability. To respond to these developments, the public and the profession have turned increasingly to assessment, both to establish initial competence and to ensure that it is maintained throughout a career. Fortunately, this comes at a time when there have been significant advances in the breadth and quality of the assessment tools available. This article provides an overview of the drivers of change in assessment which includes the educational outcomes movement, the development of technology, and advances in assessment. It then outlines the factors that are important in selecting assessment devices as well as a system for classifying the methods that are available. Finally, the drivers of change have spawned a number of trends in the assessment of competence as a surgeon. Three of them are of particular note, simulation, workplace-based assessment, and the assessment of new competences, and each is reviewed with a focus on its potential. © 2009 Surgical Associates Ltd.","author":[{"dropping-particle":"","family":"Norcini","given":"John","non-dropping-particle":"","parse-names":false,"suffix":""},{"dropping-particle":"","family":"Talati","given":"Jamsheer","non-dropping-particle":"","parse-names":false,"suffix":""}],"container-title":"International Journal of Surgery","id":"ITEM-1","issue":"4","issued":{"date-parts":[["2009"]]},"page":"313-317","publisher":"Elsevier Ltd","title":"Assessment, surgeon, and society","type":"article-journal","volume":"7"},"uris":["http://www.mendeley.com/documents/?uuid=af4eba98-bc6f-49b3-98b8-37f28e4a77a1","http://www.mendeley.com/documents/?uuid=bdb84932-0f5c-48b0-adce-b04ca864e8d8"]}],"mendeley":{"formattedCitation":"(1)","plainTextFormattedCitation":"(1)","previouslyFormattedCitation":"(1)"},"properties":{"noteIndex":0},"schema":"https://github.com/citation-style-language/schema/raw/master/csl-citation.json"}</w:instrText>
      </w:r>
      <w:r w:rsidR="00881757" w:rsidRPr="00D46512">
        <w:rPr>
          <w:rFonts w:ascii="Arial" w:hAnsi="Arial" w:cs="Arial"/>
          <w:sz w:val="20"/>
          <w:szCs w:val="20"/>
          <w:lang w:val="en-US"/>
        </w:rPr>
        <w:fldChar w:fldCharType="separate"/>
      </w:r>
      <w:r w:rsidR="00946835" w:rsidRPr="00D46512">
        <w:rPr>
          <w:rFonts w:ascii="Arial" w:hAnsi="Arial" w:cs="Arial"/>
          <w:sz w:val="20"/>
          <w:szCs w:val="20"/>
          <w:lang w:val="en-US"/>
        </w:rPr>
        <w:t>(1)</w:t>
      </w:r>
      <w:r w:rsidR="00881757" w:rsidRPr="00D46512">
        <w:rPr>
          <w:rFonts w:ascii="Arial" w:hAnsi="Arial" w:cs="Arial"/>
          <w:sz w:val="20"/>
          <w:szCs w:val="20"/>
          <w:lang w:val="en-US"/>
        </w:rPr>
        <w:fldChar w:fldCharType="end"/>
      </w:r>
      <w:r w:rsidR="00881757" w:rsidRPr="00D46512">
        <w:rPr>
          <w:rFonts w:ascii="Arial" w:hAnsi="Arial" w:cs="Arial"/>
          <w:sz w:val="20"/>
          <w:szCs w:val="20"/>
          <w:lang w:val="en-US"/>
        </w:rPr>
        <w:t xml:space="preserve">. Selain itu, bentuk penilaian ini memiliki tingkat reliabilitas yang tinggi, dapat mewakili target pembelajaran yang luas, dan dengan cara yang relatif mudah </w:t>
      </w:r>
      <w:r w:rsidR="00881757" w:rsidRPr="00D46512">
        <w:rPr>
          <w:rFonts w:ascii="Arial" w:hAnsi="Arial" w:cs="Arial"/>
          <w:sz w:val="20"/>
          <w:szCs w:val="20"/>
          <w:lang w:val="en-US"/>
        </w:rPr>
        <w:fldChar w:fldCharType="begin" w:fldLock="1"/>
      </w:r>
      <w:r w:rsidR="00946835" w:rsidRPr="00D46512">
        <w:rPr>
          <w:rFonts w:ascii="Arial" w:hAnsi="Arial" w:cs="Arial"/>
          <w:sz w:val="20"/>
          <w:szCs w:val="20"/>
          <w:lang w:val="en-US"/>
        </w:rPr>
        <w:instrText>ADDIN CSL_CITATION {"citationItems":[{"id":"ITEM-1","itemData":{"author":[{"dropping-particle":"","family":"Lisiswanti","given":"Rika","non-dropping-particle":"","parse-names":false,"suffix":""}],"container-title":"Jurnal Kedokteran","id":"ITEM-1","issue":"2","issued":{"date-parts":[["2012"]]},"title":"Dasar-dasar Pemilihan Assessment di Pendidikan Kedokteran","type":"article-journal","volume":"2"},"uris":["http://www.mendeley.com/documents/?uuid=2110ee60-42a2-4354-9e95-d929c1677890","http://www.mendeley.com/documents/?uuid=ba421e00-b43b-4d65-8de5-2c1ee4c5df7c"]}],"mendeley":{"formattedCitation":"(2)","plainTextFormattedCitation":"(2)","previouslyFormattedCitation":"(2)"},"properties":{"noteIndex":0},"schema":"https://github.com/citation-style-language/schema/raw/master/csl-citation.json"}</w:instrText>
      </w:r>
      <w:r w:rsidR="00881757" w:rsidRPr="00D46512">
        <w:rPr>
          <w:rFonts w:ascii="Arial" w:hAnsi="Arial" w:cs="Arial"/>
          <w:sz w:val="20"/>
          <w:szCs w:val="20"/>
          <w:lang w:val="en-US"/>
        </w:rPr>
        <w:fldChar w:fldCharType="separate"/>
      </w:r>
      <w:r w:rsidR="00946835" w:rsidRPr="00D46512">
        <w:rPr>
          <w:rFonts w:ascii="Arial" w:hAnsi="Arial" w:cs="Arial"/>
          <w:sz w:val="20"/>
          <w:szCs w:val="20"/>
          <w:lang w:val="en-US"/>
        </w:rPr>
        <w:t>(2)</w:t>
      </w:r>
      <w:r w:rsidR="00881757" w:rsidRPr="00D46512">
        <w:rPr>
          <w:rFonts w:ascii="Arial" w:hAnsi="Arial" w:cs="Arial"/>
          <w:sz w:val="20"/>
          <w:szCs w:val="20"/>
          <w:lang w:val="en-US"/>
        </w:rPr>
        <w:fldChar w:fldCharType="end"/>
      </w:r>
      <w:r w:rsidR="00881757" w:rsidRPr="00D46512">
        <w:rPr>
          <w:rFonts w:ascii="Arial" w:hAnsi="Arial" w:cs="Arial"/>
          <w:sz w:val="20"/>
          <w:szCs w:val="20"/>
          <w:lang w:val="en-US"/>
        </w:rPr>
        <w:t xml:space="preserve">. Dasar penyusunan soal ujian tulis pada tiap akhir stase disesuaikan dengan SKDI 2012, sehingga ujian tulis pada tiap akhir stase merupakan cerminan yang paling sesuai dengan ujian CBT UKMPPD itu sendiri. Hanya perbedaannya, pada ujian tulis akhir stase soal-soal yang diujikan hanya meliputi satu stase yang sedang dijalani oleh peserta saat itu saja, sedangkan pada ujian CBT UKMPPD soal-soal disusun dari seluruh stase rotasi klinik disertai pengetahuan dasar tambahan seperti asuransi dan profesionalisme. Hal ini sesuai dengan hasil penelitian yang menyatakan bahwa nilai </w:t>
      </w:r>
      <w:r w:rsidR="00881757" w:rsidRPr="00D46512">
        <w:rPr>
          <w:rFonts w:ascii="Arial" w:hAnsi="Arial" w:cs="Arial"/>
          <w:sz w:val="20"/>
          <w:szCs w:val="20"/>
          <w:lang w:val="en-US"/>
        </w:rPr>
        <w:lastRenderedPageBreak/>
        <w:t>ujian tulis berhubungan dengan luaran nilai CBT dan OSCE UKMPPD (p=0.00;p=0.00).</w:t>
      </w:r>
    </w:p>
    <w:p w14:paraId="41427C78" w14:textId="77777777" w:rsidR="00881757" w:rsidRPr="00D46512" w:rsidRDefault="00060723" w:rsidP="00060723">
      <w:pPr>
        <w:tabs>
          <w:tab w:val="left" w:pos="851"/>
        </w:tabs>
        <w:spacing w:after="0" w:line="360" w:lineRule="auto"/>
        <w:jc w:val="both"/>
        <w:rPr>
          <w:rFonts w:ascii="Arial" w:hAnsi="Arial" w:cs="Arial"/>
          <w:sz w:val="20"/>
          <w:szCs w:val="20"/>
          <w:lang w:val="en-US"/>
        </w:rPr>
      </w:pPr>
      <w:r w:rsidRPr="00D46512">
        <w:rPr>
          <w:rFonts w:ascii="Arial" w:hAnsi="Arial" w:cs="Arial"/>
          <w:sz w:val="20"/>
          <w:szCs w:val="20"/>
          <w:lang w:val="en-US"/>
        </w:rPr>
        <w:tab/>
      </w:r>
      <w:r w:rsidR="00881757" w:rsidRPr="00D46512">
        <w:rPr>
          <w:rFonts w:ascii="Arial" w:hAnsi="Arial" w:cs="Arial"/>
          <w:sz w:val="20"/>
          <w:szCs w:val="20"/>
          <w:lang w:val="en-US"/>
        </w:rPr>
        <w:t xml:space="preserve">OSLER bertujuan untuk menilai kemampuan klinik mahasiswa profesi dokter dalam menghadapi kasus secara komprehensif </w:t>
      </w:r>
      <w:r w:rsidR="00881757" w:rsidRPr="00D46512">
        <w:rPr>
          <w:rFonts w:ascii="Arial" w:hAnsi="Arial" w:cs="Arial"/>
          <w:sz w:val="20"/>
          <w:szCs w:val="20"/>
          <w:lang w:val="en-US"/>
        </w:rPr>
        <w:fldChar w:fldCharType="begin" w:fldLock="1"/>
      </w:r>
      <w:r w:rsidR="00946835" w:rsidRPr="00D46512">
        <w:rPr>
          <w:rFonts w:ascii="Arial" w:hAnsi="Arial" w:cs="Arial"/>
          <w:sz w:val="20"/>
          <w:szCs w:val="20"/>
          <w:lang w:val="en-US"/>
        </w:rPr>
        <w:instrText>ADDIN CSL_CITATION {"citationItems":[{"id":"ITEM-1","itemData":{"DOI":"10.1017/CBO9781107415324.004","ISBN":"9788578110796","ISSN":"1098-6596","PMID":"25246403","abstract":"El 18 de octubre de 2019 se detonó en Chile un conjuto de eventos que en pocas semanas cuestionaron, en profundidad, muchas de nuestras certidumbres colectivas. El país se ha visto enfrentado a su más grave crisis social desde hace décadas. Un conjunto heterogéneo de disputas y demandas en desestabilizado el lugar de la economía de mercado; han expresado nuevos anhelos de integración y protección social; han constituido a la violencia, en sus muy dstintas manifestaciones en una realidad de inevitable análisis; han revelado la fuerza de empuje hacia la re-definición de las relaciones entre los individuos y entre estos y las instituciones ¿Cuáles son las razones de la amplitud e intensidad de estos acontecimientos? ¿Cuáles los procesos que les subyacen y anteceden? ¿Bajo qué formas y en qué lugares estos procesos se produjeron? ¿Quiénes fueron sus principales actores? ¿Qué horizontes -todavía inciertos-- se han abierto? ¿Qué nos dicen de la sociedad las formas de politización que han tenido estas demandas? Este libro, resultado de un trabajo colectivo realizado por veintiún investigadoras e investigadoras del Centro Núcleo Milenio Autoridad y Asimetrías de Poder, procura aportar a dar respuesta a estas interrogantes. Ajeno a todo dogmatismo o eclecticismo, asumiendo el riesgo de la interpretación ante sucesos en curso, pero sostenido en largos años de investigación empírica, su objetivo es proporcionar, desde distintas disciplinas de las ciencias sociales, elementos para la comprensión de nuestra historia social.","author":[{"dropping-particle":"","family":"MS","given":"Zulfikar","non-dropping-particle":"","parse-names":false,"suffix":""}],"container-title":"Skripsi, Fakkultas Kedokteran, Universitas Lampung","id":"ITEM-1","issue":"-","issued":{"date-parts":[["2019"]]},"number-of-pages":"1-476","title":"Perbedaan Skor Mini-CEX Dokter Muda Stase Pertama dan Stase Terakhir pada Stase Obstetri Ginekologi Rumah Sakit Dr.Hi.Abdul Moeloek Bandar Lampung","type":"thesis","volume":"1"},"uris":["http://www.mendeley.com/documents/?uuid=2bec63c0-f239-43e3-8c06-afe8adff36bf","http://www.mendeley.com/documents/?uuid=ae72f52e-48dd-4a16-9438-714b05ac04e3"]}],"mendeley":{"formattedCitation":"(6)","plainTextFormattedCitation":"(6)","previouslyFormattedCitation":"(6)"},"properties":{"noteIndex":0},"schema":"https://github.com/citation-style-language/schema/raw/master/csl-citation.json"}</w:instrText>
      </w:r>
      <w:r w:rsidR="00881757" w:rsidRPr="00D46512">
        <w:rPr>
          <w:rFonts w:ascii="Arial" w:hAnsi="Arial" w:cs="Arial"/>
          <w:sz w:val="20"/>
          <w:szCs w:val="20"/>
          <w:lang w:val="en-US"/>
        </w:rPr>
        <w:fldChar w:fldCharType="separate"/>
      </w:r>
      <w:r w:rsidR="00946835" w:rsidRPr="00D46512">
        <w:rPr>
          <w:rFonts w:ascii="Arial" w:hAnsi="Arial" w:cs="Arial"/>
          <w:sz w:val="20"/>
          <w:szCs w:val="20"/>
          <w:lang w:val="en-US"/>
        </w:rPr>
        <w:t>(6)</w:t>
      </w:r>
      <w:r w:rsidR="00881757" w:rsidRPr="00D46512">
        <w:rPr>
          <w:rFonts w:ascii="Arial" w:hAnsi="Arial" w:cs="Arial"/>
          <w:sz w:val="20"/>
          <w:szCs w:val="20"/>
          <w:lang w:val="en-US"/>
        </w:rPr>
        <w:fldChar w:fldCharType="end"/>
      </w:r>
      <w:r w:rsidR="00881757" w:rsidRPr="00D46512">
        <w:rPr>
          <w:rFonts w:ascii="Arial" w:hAnsi="Arial" w:cs="Arial"/>
          <w:sz w:val="20"/>
          <w:szCs w:val="20"/>
          <w:lang w:val="en-US"/>
        </w:rPr>
        <w:t xml:space="preserve">. OSLER merupakan modifikasi dari bentuk penilaian </w:t>
      </w:r>
      <w:r w:rsidR="00881757" w:rsidRPr="00D46512">
        <w:rPr>
          <w:rFonts w:ascii="Arial" w:hAnsi="Arial" w:cs="Arial"/>
          <w:i/>
          <w:sz w:val="20"/>
          <w:szCs w:val="20"/>
          <w:lang w:val="en-US"/>
        </w:rPr>
        <w:t>long case</w:t>
      </w:r>
      <w:r w:rsidR="00881757" w:rsidRPr="00D46512">
        <w:rPr>
          <w:rFonts w:ascii="Arial" w:hAnsi="Arial" w:cs="Arial"/>
          <w:sz w:val="20"/>
          <w:szCs w:val="20"/>
          <w:lang w:val="en-US"/>
        </w:rPr>
        <w:t xml:space="preserve"> memiliki tujuan untuk menilai “</w:t>
      </w:r>
      <w:r w:rsidR="00881757" w:rsidRPr="00D46512">
        <w:rPr>
          <w:rFonts w:ascii="Arial" w:hAnsi="Arial" w:cs="Arial"/>
          <w:i/>
          <w:sz w:val="20"/>
          <w:szCs w:val="20"/>
          <w:lang w:val="en-US"/>
        </w:rPr>
        <w:t>show how</w:t>
      </w:r>
      <w:r w:rsidR="00881757" w:rsidRPr="00D46512">
        <w:rPr>
          <w:rFonts w:ascii="Arial" w:hAnsi="Arial" w:cs="Arial"/>
          <w:sz w:val="20"/>
          <w:szCs w:val="20"/>
          <w:lang w:val="en-US"/>
        </w:rPr>
        <w:t xml:space="preserve">” </w:t>
      </w:r>
      <w:r w:rsidR="00881757" w:rsidRPr="00D46512">
        <w:rPr>
          <w:rFonts w:ascii="Arial" w:hAnsi="Arial" w:cs="Arial"/>
          <w:sz w:val="20"/>
          <w:szCs w:val="20"/>
          <w:lang w:val="en-US"/>
        </w:rPr>
        <w:fldChar w:fldCharType="begin" w:fldLock="1"/>
      </w:r>
      <w:r w:rsidR="00946835" w:rsidRPr="00D46512">
        <w:rPr>
          <w:rFonts w:ascii="Arial" w:hAnsi="Arial" w:cs="Arial"/>
          <w:sz w:val="20"/>
          <w:szCs w:val="20"/>
          <w:lang w:val="en-US"/>
        </w:rPr>
        <w:instrText>ADDIN CSL_CITATION {"citationItems":[{"id":"ITEM-1","itemData":{"author":[{"dropping-particle":"","family":"Lisiswanti","given":"Rika","non-dropping-particle":"","parse-names":false,"suffix":""}],"container-title":"Jurnal Kedokteran","id":"ITEM-1","issue":"2","issued":{"date-parts":[["2012"]]},"title":"Dasar-dasar Pemilihan Assessment di Pendidikan Kedokteran","type":"article-journal","volume":"2"},"uris":["http://www.mendeley.com/documents/?uuid=2110ee60-42a2-4354-9e95-d929c1677890","http://www.mendeley.com/documents/?uuid=ba421e00-b43b-4d65-8de5-2c1ee4c5df7c"]}],"mendeley":{"formattedCitation":"(2)","plainTextFormattedCitation":"(2)","previouslyFormattedCitation":"(2)"},"properties":{"noteIndex":0},"schema":"https://github.com/citation-style-language/schema/raw/master/csl-citation.json"}</w:instrText>
      </w:r>
      <w:r w:rsidR="00881757" w:rsidRPr="00D46512">
        <w:rPr>
          <w:rFonts w:ascii="Arial" w:hAnsi="Arial" w:cs="Arial"/>
          <w:sz w:val="20"/>
          <w:szCs w:val="20"/>
          <w:lang w:val="en-US"/>
        </w:rPr>
        <w:fldChar w:fldCharType="separate"/>
      </w:r>
      <w:r w:rsidR="00946835" w:rsidRPr="00D46512">
        <w:rPr>
          <w:rFonts w:ascii="Arial" w:hAnsi="Arial" w:cs="Arial"/>
          <w:sz w:val="20"/>
          <w:szCs w:val="20"/>
          <w:lang w:val="en-US"/>
        </w:rPr>
        <w:t>(2)</w:t>
      </w:r>
      <w:r w:rsidR="00881757" w:rsidRPr="00D46512">
        <w:rPr>
          <w:rFonts w:ascii="Arial" w:hAnsi="Arial" w:cs="Arial"/>
          <w:sz w:val="20"/>
          <w:szCs w:val="20"/>
          <w:lang w:val="en-US"/>
        </w:rPr>
        <w:fldChar w:fldCharType="end"/>
      </w:r>
      <w:r w:rsidR="00881757" w:rsidRPr="00D46512">
        <w:rPr>
          <w:rFonts w:ascii="Arial" w:hAnsi="Arial" w:cs="Arial"/>
          <w:sz w:val="20"/>
          <w:szCs w:val="20"/>
          <w:lang w:val="en-US"/>
        </w:rPr>
        <w:t>. Pada tingkatan “</w:t>
      </w:r>
      <w:r w:rsidR="00881757" w:rsidRPr="00D46512">
        <w:rPr>
          <w:rFonts w:ascii="Arial" w:hAnsi="Arial" w:cs="Arial"/>
          <w:i/>
          <w:sz w:val="20"/>
          <w:szCs w:val="20"/>
          <w:lang w:val="en-US"/>
        </w:rPr>
        <w:t>show how</w:t>
      </w:r>
      <w:r w:rsidR="00881757" w:rsidRPr="00D46512">
        <w:rPr>
          <w:rFonts w:ascii="Arial" w:hAnsi="Arial" w:cs="Arial"/>
          <w:sz w:val="20"/>
          <w:szCs w:val="20"/>
          <w:lang w:val="en-US"/>
        </w:rPr>
        <w:t xml:space="preserve">” mahasiswa profesi dokter dinilai tidak hanya pengetahuan dasarnya, namun hingga pada kemampuannya dalam melakukan atau mendemonstrasikan suatu kemampuan klinis </w:t>
      </w:r>
      <w:r w:rsidR="00881757" w:rsidRPr="00D46512">
        <w:rPr>
          <w:rFonts w:ascii="Arial" w:hAnsi="Arial" w:cs="Arial"/>
          <w:sz w:val="20"/>
          <w:szCs w:val="20"/>
          <w:lang w:val="en-US"/>
        </w:rPr>
        <w:fldChar w:fldCharType="begin" w:fldLock="1"/>
      </w:r>
      <w:r w:rsidR="00946835" w:rsidRPr="00D46512">
        <w:rPr>
          <w:rFonts w:ascii="Arial" w:hAnsi="Arial" w:cs="Arial"/>
          <w:sz w:val="20"/>
          <w:szCs w:val="20"/>
          <w:lang w:val="en-US"/>
        </w:rPr>
        <w:instrText>ADDIN CSL_CITATION {"citationItems":[{"id":"ITEM-1","itemData":{"DOI":"10.1016/j.ijsu.2009.06.011","ISSN":"17439191","PMID":"19573630","abstract":"An increasing public demand to monitor and assure the quality of care provided by physicians and surgeons has been accompanied by a deepening appreciation within the profession of the demands of self-regulation and the need for accountability. To respond to these developments, the public and the profession have turned increasingly to assessment, both to establish initial competence and to ensure that it is maintained throughout a career. Fortunately, this comes at a time when there have been significant advances in the breadth and quality of the assessment tools available. This article provides an overview of the drivers of change in assessment which includes the educational outcomes movement, the development of technology, and advances in assessment. It then outlines the factors that are important in selecting assessment devices as well as a system for classifying the methods that are available. Finally, the drivers of change have spawned a number of trends in the assessment of competence as a surgeon. Three of them are of particular note, simulation, workplace-based assessment, and the assessment of new competences, and each is reviewed with a focus on its potential. © 2009 Surgical Associates Ltd.","author":[{"dropping-particle":"","family":"Norcini","given":"John","non-dropping-particle":"","parse-names":false,"suffix":""},{"dropping-particle":"","family":"Talati","given":"Jamsheer","non-dropping-particle":"","parse-names":false,"suffix":""}],"container-title":"International Journal of Surgery","id":"ITEM-1","issue":"4","issued":{"date-parts":[["2009"]]},"page":"313-317","publisher":"Elsevier Ltd","title":"Assessment, surgeon, and society","type":"article-journal","volume":"7"},"uris":["http://www.mendeley.com/documents/?uuid=af4eba98-bc6f-49b3-98b8-37f28e4a77a1","http://www.mendeley.com/documents/?uuid=bdb84932-0f5c-48b0-adce-b04ca864e8d8"]}],"mendeley":{"formattedCitation":"(1)","plainTextFormattedCitation":"(1)","previouslyFormattedCitation":"(1)"},"properties":{"noteIndex":0},"schema":"https://github.com/citation-style-language/schema/raw/master/csl-citation.json"}</w:instrText>
      </w:r>
      <w:r w:rsidR="00881757" w:rsidRPr="00D46512">
        <w:rPr>
          <w:rFonts w:ascii="Arial" w:hAnsi="Arial" w:cs="Arial"/>
          <w:sz w:val="20"/>
          <w:szCs w:val="20"/>
          <w:lang w:val="en-US"/>
        </w:rPr>
        <w:fldChar w:fldCharType="separate"/>
      </w:r>
      <w:r w:rsidR="00946835" w:rsidRPr="00D46512">
        <w:rPr>
          <w:rFonts w:ascii="Arial" w:hAnsi="Arial" w:cs="Arial"/>
          <w:sz w:val="20"/>
          <w:szCs w:val="20"/>
          <w:lang w:val="en-US"/>
        </w:rPr>
        <w:t>(1)</w:t>
      </w:r>
      <w:r w:rsidR="00881757" w:rsidRPr="00D46512">
        <w:rPr>
          <w:rFonts w:ascii="Arial" w:hAnsi="Arial" w:cs="Arial"/>
          <w:sz w:val="20"/>
          <w:szCs w:val="20"/>
          <w:lang w:val="en-US"/>
        </w:rPr>
        <w:fldChar w:fldCharType="end"/>
      </w:r>
      <w:r w:rsidR="00881757" w:rsidRPr="00D46512">
        <w:rPr>
          <w:rFonts w:ascii="Arial" w:hAnsi="Arial" w:cs="Arial"/>
          <w:sz w:val="20"/>
          <w:szCs w:val="20"/>
          <w:lang w:val="en-US"/>
        </w:rPr>
        <w:t xml:space="preserve">. Pada ujian OSLER, mahasiswa bisa langsung diobservasi maupun tidak oleh pembimbing klinis </w:t>
      </w:r>
      <w:r w:rsidR="00881757" w:rsidRPr="00D46512">
        <w:rPr>
          <w:rFonts w:ascii="Arial" w:hAnsi="Arial" w:cs="Arial"/>
          <w:sz w:val="20"/>
          <w:szCs w:val="20"/>
          <w:lang w:val="en-US"/>
        </w:rPr>
        <w:fldChar w:fldCharType="begin" w:fldLock="1"/>
      </w:r>
      <w:r w:rsidR="00946835" w:rsidRPr="00D46512">
        <w:rPr>
          <w:rFonts w:ascii="Arial" w:hAnsi="Arial" w:cs="Arial"/>
          <w:sz w:val="20"/>
          <w:szCs w:val="20"/>
          <w:lang w:val="en-US"/>
        </w:rPr>
        <w:instrText>ADDIN CSL_CITATION {"citationItems":[{"id":"ITEM-1","itemData":{"author":[{"dropping-particle":"","family":"Lisiswanti","given":"Rika","non-dropping-particle":"","parse-names":false,"suffix":""}],"container-title":"Jurnal Kedokteran","id":"ITEM-1","issue":"2","issued":{"date-parts":[["2012"]]},"title":"Dasar-dasar Pemilihan Assessment di Pendidikan Kedokteran","type":"article-journal","volume":"2"},"uris":["http://www.mendeley.com/documents/?uuid=2110ee60-42a2-4354-9e95-d929c1677890","http://www.mendeley.com/documents/?uuid=ba421e00-b43b-4d65-8de5-2c1ee4c5df7c"]}],"mendeley":{"formattedCitation":"(2)","plainTextFormattedCitation":"(2)","previouslyFormattedCitation":"(2)"},"properties":{"noteIndex":0},"schema":"https://github.com/citation-style-language/schema/raw/master/csl-citation.json"}</w:instrText>
      </w:r>
      <w:r w:rsidR="00881757" w:rsidRPr="00D46512">
        <w:rPr>
          <w:rFonts w:ascii="Arial" w:hAnsi="Arial" w:cs="Arial"/>
          <w:sz w:val="20"/>
          <w:szCs w:val="20"/>
          <w:lang w:val="en-US"/>
        </w:rPr>
        <w:fldChar w:fldCharType="separate"/>
      </w:r>
      <w:r w:rsidR="00946835" w:rsidRPr="00D46512">
        <w:rPr>
          <w:rFonts w:ascii="Arial" w:hAnsi="Arial" w:cs="Arial"/>
          <w:sz w:val="20"/>
          <w:szCs w:val="20"/>
          <w:lang w:val="en-US"/>
        </w:rPr>
        <w:t>(2)</w:t>
      </w:r>
      <w:r w:rsidR="00881757" w:rsidRPr="00D46512">
        <w:rPr>
          <w:rFonts w:ascii="Arial" w:hAnsi="Arial" w:cs="Arial"/>
          <w:sz w:val="20"/>
          <w:szCs w:val="20"/>
          <w:lang w:val="en-US"/>
        </w:rPr>
        <w:fldChar w:fldCharType="end"/>
      </w:r>
      <w:r w:rsidR="00881757" w:rsidRPr="00D46512">
        <w:rPr>
          <w:rFonts w:ascii="Arial" w:hAnsi="Arial" w:cs="Arial"/>
          <w:sz w:val="20"/>
          <w:szCs w:val="20"/>
          <w:lang w:val="en-US"/>
        </w:rPr>
        <w:t>. Kasus yang diambil kemudian didiskusikan secara mendalam untuk menilai pemahaman mengenai pengetahuan dasar maupun kemampuan klinis mahasiswa tersebut. Meskipun lebih mengarah pada penilaian “</w:t>
      </w:r>
      <w:r w:rsidR="00881757" w:rsidRPr="00D46512">
        <w:rPr>
          <w:rFonts w:ascii="Arial" w:hAnsi="Arial" w:cs="Arial"/>
          <w:i/>
          <w:sz w:val="20"/>
          <w:szCs w:val="20"/>
          <w:lang w:val="en-US"/>
        </w:rPr>
        <w:t>show how</w:t>
      </w:r>
      <w:r w:rsidR="00881757" w:rsidRPr="00D46512">
        <w:rPr>
          <w:rFonts w:ascii="Arial" w:hAnsi="Arial" w:cs="Arial"/>
          <w:sz w:val="20"/>
          <w:szCs w:val="20"/>
          <w:lang w:val="en-US"/>
        </w:rPr>
        <w:t>”, untuk menghadapi ujian OSLER mahasiswa profesi dokter memerlukan pengetahuan dasar yang cukup mendalam, sehingga dapat pula menggambarkan seberapa baik tingkat “</w:t>
      </w:r>
      <w:r w:rsidR="00881757" w:rsidRPr="00D46512">
        <w:rPr>
          <w:rFonts w:ascii="Arial" w:hAnsi="Arial" w:cs="Arial"/>
          <w:i/>
          <w:sz w:val="20"/>
          <w:szCs w:val="20"/>
          <w:lang w:val="en-US"/>
        </w:rPr>
        <w:t xml:space="preserve">know” </w:t>
      </w:r>
      <w:r w:rsidR="00881757" w:rsidRPr="00D46512">
        <w:rPr>
          <w:rFonts w:ascii="Arial" w:hAnsi="Arial" w:cs="Arial"/>
          <w:sz w:val="20"/>
          <w:szCs w:val="20"/>
          <w:lang w:val="en-US"/>
        </w:rPr>
        <w:t xml:space="preserve">dari mahasiswa, yang merupakan tujuan dari ujian CBT UKMPPD. Hal ini juga didukung oleh hasil penelitian ini yang menyatakan bahwa nilai OSLER </w:t>
      </w:r>
      <w:r w:rsidR="00EB7446" w:rsidRPr="00D46512">
        <w:rPr>
          <w:rFonts w:ascii="Arial" w:hAnsi="Arial" w:cs="Arial"/>
          <w:sz w:val="20"/>
          <w:szCs w:val="20"/>
          <w:lang w:val="en-US"/>
        </w:rPr>
        <w:t>berhubungan dengan luaran nilai CBT dan OSCE UKMMPD (p=0,019;p=0,000).</w:t>
      </w:r>
    </w:p>
    <w:p w14:paraId="2EADE4A8" w14:textId="77777777" w:rsidR="00785FE1" w:rsidRPr="00D46512" w:rsidRDefault="00060723" w:rsidP="00060723">
      <w:pPr>
        <w:tabs>
          <w:tab w:val="left" w:pos="851"/>
        </w:tabs>
        <w:spacing w:after="0" w:line="360" w:lineRule="auto"/>
        <w:jc w:val="both"/>
        <w:rPr>
          <w:rFonts w:ascii="Arial" w:hAnsi="Arial" w:cs="Arial"/>
          <w:sz w:val="20"/>
          <w:szCs w:val="20"/>
          <w:lang w:val="id-ID"/>
        </w:rPr>
      </w:pPr>
      <w:r w:rsidRPr="00D46512">
        <w:rPr>
          <w:rFonts w:ascii="Arial" w:hAnsi="Arial" w:cs="Arial"/>
          <w:sz w:val="20"/>
          <w:szCs w:val="20"/>
          <w:lang w:val="en-US"/>
        </w:rPr>
        <w:tab/>
      </w:r>
      <w:r w:rsidR="00CB15D8" w:rsidRPr="00D46512">
        <w:rPr>
          <w:rFonts w:ascii="Arial" w:hAnsi="Arial" w:cs="Arial"/>
          <w:sz w:val="20"/>
          <w:szCs w:val="20"/>
          <w:lang w:val="en-US"/>
        </w:rPr>
        <w:t xml:space="preserve">Nilai total merupakan nilai akhir dari tiap stase. Hasil analisis ini menunjukkan bahwa nilai total pada kegiatan pendidikan profesi dokter berhubungan dengan luaran nilai CBT dan OSCE UKMPPD (p=0,002;p=0,000). Komponen nilai total bervariasi pada tiap-tiap stase, namun terutama didominasi oleh nilai mini-CEX dan nilai ujian OSLER. Bentuk penilaian mini-CEX dan ujian OSLER merupakan gabungan penilaian kognitif dan keterampilan klinis </w:t>
      </w:r>
      <w:r w:rsidR="00CB15D8" w:rsidRPr="00D46512">
        <w:rPr>
          <w:rFonts w:ascii="Arial" w:hAnsi="Arial" w:cs="Arial"/>
          <w:sz w:val="20"/>
          <w:szCs w:val="20"/>
          <w:lang w:val="en-US"/>
        </w:rPr>
        <w:fldChar w:fldCharType="begin" w:fldLock="1"/>
      </w:r>
      <w:r w:rsidR="00946835" w:rsidRPr="00D46512">
        <w:rPr>
          <w:rFonts w:ascii="Arial" w:hAnsi="Arial" w:cs="Arial"/>
          <w:sz w:val="20"/>
          <w:szCs w:val="20"/>
          <w:lang w:val="en-US"/>
        </w:rPr>
        <w:instrText>ADDIN CSL_CITATION {"citationItems":[{"id":"ITEM-1","itemData":{"DOI":"10.1016/j.ijsu.2009.06.011","ISSN":"17439191","PMID":"19573630","abstract":"An increasing public demand to monitor and assure the quality of care provided by physicians and surgeons has been accompanied by a deepening appreciation within the profession of the demands of self-regulation and the need for accountability. To respond to these developments, the public and the profession have turned increasingly to assessment, both to establish initial competence and to ensure that it is maintained throughout a career. Fortunately, this comes at a time when there have been significant advances in the breadth and quality of the assessment tools available. This article provides an overview of the drivers of change in assessment which includes the educational outcomes movement, the development of technology, and advances in assessment. It then outlines the factors that are important in selecting assessment devices as well as a system for classifying the methods that are available. Finally, the drivers of change have spawned a number of trends in the assessment of competence as a surgeon. Three of them are of particular note, simulation, workplace-based assessment, and the assessment of new competences, and each is reviewed with a focus on its potential. © 2009 Surgical Associates Ltd.","author":[{"dropping-particle":"","family":"Norcini","given":"John","non-dropping-particle":"","parse-names":false,"suffix":""},{"dropping-particle":"","family":"Talati","given":"Jamsheer","non-dropping-particle":"","parse-names":false,"suffix":""}],"container-title":"International Journal of Surgery","id":"ITEM-1","issue":"4","issued":{"date-parts":[["2009"]]},"page":"313-317","publisher":"Elsevier Ltd","title":"Assessment, surgeon, and society","type":"article-journal","volume":"7"},"uris":["http://www.mendeley.com/documents/?uuid=af4eba98-bc6f-49b3-98b8-37f28e4a77a1","http://www.mendeley.com/documents/?uuid=bdb84932-0f5c-48b0-adce-b04ca864e8d8"]}],"mendeley":{"formattedCitation":"(1)","plainTextFormattedCitation":"(1)","previouslyFormattedCitation":"(1)"},"properties":{"noteIndex":0},"schema":"https://github.com/citation-style-language/schema/raw/master/csl-citation.json"}</w:instrText>
      </w:r>
      <w:r w:rsidR="00CB15D8" w:rsidRPr="00D46512">
        <w:rPr>
          <w:rFonts w:ascii="Arial" w:hAnsi="Arial" w:cs="Arial"/>
          <w:sz w:val="20"/>
          <w:szCs w:val="20"/>
          <w:lang w:val="en-US"/>
        </w:rPr>
        <w:fldChar w:fldCharType="separate"/>
      </w:r>
      <w:r w:rsidR="00946835" w:rsidRPr="00D46512">
        <w:rPr>
          <w:rFonts w:ascii="Arial" w:hAnsi="Arial" w:cs="Arial"/>
          <w:sz w:val="20"/>
          <w:szCs w:val="20"/>
          <w:lang w:val="en-US"/>
        </w:rPr>
        <w:t>(1)</w:t>
      </w:r>
      <w:r w:rsidR="00CB15D8" w:rsidRPr="00D46512">
        <w:rPr>
          <w:rFonts w:ascii="Arial" w:hAnsi="Arial" w:cs="Arial"/>
          <w:sz w:val="20"/>
          <w:szCs w:val="20"/>
          <w:lang w:val="en-US"/>
        </w:rPr>
        <w:fldChar w:fldCharType="end"/>
      </w:r>
      <w:r w:rsidR="00CB15D8" w:rsidRPr="00D46512">
        <w:rPr>
          <w:rFonts w:ascii="Arial" w:hAnsi="Arial" w:cs="Arial"/>
          <w:sz w:val="20"/>
          <w:szCs w:val="20"/>
          <w:lang w:val="en-US"/>
        </w:rPr>
        <w:t xml:space="preserve">.  Sehingga hasil analisis </w:t>
      </w:r>
      <w:r w:rsidR="00CB15D8" w:rsidRPr="00D46512">
        <w:rPr>
          <w:rFonts w:ascii="Arial" w:hAnsi="Arial" w:cs="Arial"/>
          <w:sz w:val="20"/>
          <w:szCs w:val="20"/>
          <w:lang w:val="en-US"/>
        </w:rPr>
        <w:t xml:space="preserve">ini sesuai bahwa nilai total berhubungan dengan nilai UKMPPD baik CBT dan OSCE. </w:t>
      </w:r>
      <w:r w:rsidR="00FC5DC9" w:rsidRPr="00D46512">
        <w:rPr>
          <w:rFonts w:ascii="Arial" w:hAnsi="Arial" w:cs="Arial"/>
          <w:sz w:val="20"/>
          <w:szCs w:val="20"/>
          <w:lang w:val="id-ID"/>
        </w:rPr>
        <w:t xml:space="preserve">Namun, melaksanakan suatu proses penilaian pendidikan klinik yang baik merupakan suatu tantangan tersendiri, terlebih dengan model penilaian yang banyak (7 penilaian) dengan waktu stase yang terbatas. Dengan berbagai pertimbangan penilaian menggunakan metode DOPS tidak dilakukan di 3 stase pendidikan klinik. Akibatnya, sebaran data nilai DOPS tidak masuk dalam kategori distribusi normal, sehingga dikeluarkan dari analisis data penelitian ini. Hal ini cukup disayangkan mengingat DOPS sangat kuat dalam menilai aspek keterampilan prosedural, yang merupakan aspek yang cukup dominan dalam OSCE.  Penilaian refleksi kasus tidak dijadikan variabel yang diteliti dalam penelitian ini dikarenakan secara khusus menilai kemampuan afektif mahasiswa terutama terkait norma dan nilai kemanusiaan. </w:t>
      </w:r>
    </w:p>
    <w:p w14:paraId="6029CB6F" w14:textId="77777777" w:rsidR="006F3D9F" w:rsidRPr="00D46512" w:rsidRDefault="006F3D9F" w:rsidP="00060723">
      <w:pPr>
        <w:tabs>
          <w:tab w:val="left" w:pos="851"/>
        </w:tabs>
        <w:spacing w:after="0" w:line="360" w:lineRule="auto"/>
        <w:jc w:val="both"/>
        <w:rPr>
          <w:rFonts w:ascii="Arial" w:hAnsi="Arial" w:cs="Arial"/>
          <w:sz w:val="20"/>
          <w:szCs w:val="20"/>
          <w:lang w:val="en-US"/>
        </w:rPr>
      </w:pPr>
      <w:r w:rsidRPr="00D46512">
        <w:rPr>
          <w:rFonts w:ascii="Arial" w:hAnsi="Arial" w:cs="Arial"/>
          <w:sz w:val="20"/>
          <w:szCs w:val="20"/>
          <w:lang w:val="en-US"/>
        </w:rPr>
        <w:t>Kesimpulan</w:t>
      </w:r>
    </w:p>
    <w:p w14:paraId="3E6E4953" w14:textId="77777777" w:rsidR="006F3D9F" w:rsidRPr="00D46512" w:rsidRDefault="00060723" w:rsidP="00060723">
      <w:pPr>
        <w:tabs>
          <w:tab w:val="left" w:pos="851"/>
        </w:tabs>
        <w:spacing w:after="0" w:line="360" w:lineRule="auto"/>
        <w:jc w:val="both"/>
        <w:rPr>
          <w:rFonts w:ascii="Arial" w:hAnsi="Arial" w:cs="Arial"/>
          <w:sz w:val="20"/>
          <w:szCs w:val="20"/>
          <w:lang w:val="en-ID"/>
        </w:rPr>
      </w:pPr>
      <w:r w:rsidRPr="00D46512">
        <w:rPr>
          <w:rFonts w:ascii="Arial" w:hAnsi="Arial" w:cs="Arial"/>
          <w:sz w:val="20"/>
          <w:szCs w:val="20"/>
          <w:lang w:val="id-ID"/>
        </w:rPr>
        <w:tab/>
      </w:r>
      <w:r w:rsidR="006F3D9F" w:rsidRPr="00D46512">
        <w:rPr>
          <w:rFonts w:ascii="Arial" w:hAnsi="Arial" w:cs="Arial"/>
          <w:sz w:val="20"/>
          <w:szCs w:val="20"/>
          <w:lang w:val="id-ID"/>
        </w:rPr>
        <w:t xml:space="preserve">Berdasarkan pembahasan di atas, dapat disimpulkan bahwa penilaian proses pendidikan klinik yang menggunakan multi-modalitas dalam bentuk Mini-CEX, DOPS, Tutorial klinik, </w:t>
      </w:r>
      <w:r w:rsidR="006F3D9F" w:rsidRPr="00D46512">
        <w:rPr>
          <w:rFonts w:ascii="Arial" w:hAnsi="Arial" w:cs="Arial"/>
          <w:i/>
          <w:iCs/>
          <w:sz w:val="20"/>
          <w:szCs w:val="20"/>
          <w:lang w:val="id-ID"/>
        </w:rPr>
        <w:t>jurnal reading</w:t>
      </w:r>
      <w:r w:rsidR="006F3D9F" w:rsidRPr="00D46512">
        <w:rPr>
          <w:rFonts w:ascii="Arial" w:hAnsi="Arial" w:cs="Arial"/>
          <w:sz w:val="20"/>
          <w:szCs w:val="20"/>
          <w:lang w:val="id-ID"/>
        </w:rPr>
        <w:t>, ujian tulis, refleksi kasus dan OSLER</w:t>
      </w:r>
      <w:r w:rsidR="006F3D9F" w:rsidRPr="00D46512">
        <w:rPr>
          <w:rFonts w:ascii="Arial" w:hAnsi="Arial" w:cs="Arial"/>
          <w:sz w:val="20"/>
          <w:szCs w:val="20"/>
          <w:lang w:val="en-US"/>
        </w:rPr>
        <w:t xml:space="preserve"> </w:t>
      </w:r>
      <w:r w:rsidR="006F3D9F" w:rsidRPr="00D46512">
        <w:rPr>
          <w:rFonts w:ascii="Arial" w:hAnsi="Arial" w:cs="Arial"/>
          <w:sz w:val="20"/>
          <w:szCs w:val="20"/>
          <w:lang w:val="id-ID"/>
        </w:rPr>
        <w:t>terbukti mampu memberikan gambaran kemampuan dan kompetensi mahasiswa yang utuh baik dari aspek kognitif maupun psikomotorik.</w:t>
      </w:r>
      <w:r w:rsidR="00FC5DC9" w:rsidRPr="00D46512">
        <w:rPr>
          <w:rFonts w:ascii="Arial" w:hAnsi="Arial" w:cs="Arial"/>
          <w:sz w:val="20"/>
          <w:szCs w:val="20"/>
          <w:lang w:val="en-ID"/>
        </w:rPr>
        <w:t xml:space="preserve"> </w:t>
      </w:r>
      <w:r w:rsidR="00FC5DC9" w:rsidRPr="00D46512">
        <w:rPr>
          <w:rFonts w:ascii="Arial" w:hAnsi="Arial" w:cs="Arial"/>
          <w:sz w:val="20"/>
          <w:szCs w:val="20"/>
          <w:lang w:val="id-ID"/>
        </w:rPr>
        <w:t>Luaran kompetensi proses pendidikan dokter secara nasional diukur melalui UKMPPD baik CBT maupun OSCE. Idealnya hasil penilaian proses pendidikan klinik akan selaras dengan hasil uji kompetensi nasional. Ini dibuktikan dari penelitian ini yang menunjukkan sebagian besar nilai proses pendidikan klinik memiliki hubungan yang signifikan dengan UKMPPD.</w:t>
      </w:r>
    </w:p>
    <w:p w14:paraId="798B2C4D" w14:textId="77777777" w:rsidR="00D46512" w:rsidRDefault="00D46512" w:rsidP="00974E07">
      <w:pPr>
        <w:widowControl w:val="0"/>
        <w:autoSpaceDE w:val="0"/>
        <w:autoSpaceDN w:val="0"/>
        <w:adjustRightInd w:val="0"/>
        <w:spacing w:after="0" w:line="360" w:lineRule="auto"/>
        <w:jc w:val="center"/>
        <w:rPr>
          <w:rFonts w:ascii="Arial" w:hAnsi="Arial" w:cs="Arial"/>
          <w:sz w:val="20"/>
          <w:szCs w:val="20"/>
        </w:rPr>
        <w:sectPr w:rsidR="00D46512" w:rsidSect="009C6B07">
          <w:type w:val="continuous"/>
          <w:pgSz w:w="11907" w:h="16840" w:code="9"/>
          <w:pgMar w:top="1440" w:right="1440" w:bottom="1440" w:left="1440" w:header="709" w:footer="709" w:gutter="0"/>
          <w:cols w:num="2" w:space="708"/>
          <w:docGrid w:linePitch="360"/>
        </w:sectPr>
      </w:pPr>
    </w:p>
    <w:p w14:paraId="0A21C792" w14:textId="77777777" w:rsidR="00D46512" w:rsidRDefault="00D46512" w:rsidP="00D46512">
      <w:pPr>
        <w:widowControl w:val="0"/>
        <w:autoSpaceDE w:val="0"/>
        <w:autoSpaceDN w:val="0"/>
        <w:adjustRightInd w:val="0"/>
        <w:spacing w:after="0" w:line="360" w:lineRule="auto"/>
        <w:rPr>
          <w:rFonts w:ascii="Arial" w:hAnsi="Arial" w:cs="Arial"/>
          <w:sz w:val="20"/>
          <w:szCs w:val="20"/>
        </w:rPr>
      </w:pPr>
    </w:p>
    <w:p w14:paraId="27FFD37D" w14:textId="6C9EC6D0" w:rsidR="00946835" w:rsidRPr="00D46512" w:rsidRDefault="00D46512" w:rsidP="00D46512">
      <w:pPr>
        <w:widowControl w:val="0"/>
        <w:autoSpaceDE w:val="0"/>
        <w:autoSpaceDN w:val="0"/>
        <w:adjustRightInd w:val="0"/>
        <w:spacing w:after="0" w:line="360" w:lineRule="auto"/>
        <w:rPr>
          <w:rFonts w:ascii="Arial" w:hAnsi="Arial" w:cs="Arial"/>
          <w:b/>
          <w:bCs/>
          <w:sz w:val="20"/>
          <w:szCs w:val="20"/>
        </w:rPr>
      </w:pPr>
      <w:r w:rsidRPr="00D46512">
        <w:rPr>
          <w:rFonts w:ascii="Arial" w:hAnsi="Arial" w:cs="Arial"/>
          <w:b/>
          <w:bCs/>
          <w:sz w:val="20"/>
          <w:szCs w:val="20"/>
        </w:rPr>
        <w:t>REFERENSI</w:t>
      </w:r>
    </w:p>
    <w:p w14:paraId="1C613030" w14:textId="77777777" w:rsidR="00946835" w:rsidRPr="00D46512" w:rsidRDefault="00946835" w:rsidP="00D46512">
      <w:pPr>
        <w:pStyle w:val="DaftarParagraf"/>
        <w:widowControl w:val="0"/>
        <w:numPr>
          <w:ilvl w:val="0"/>
          <w:numId w:val="2"/>
        </w:numPr>
        <w:autoSpaceDE w:val="0"/>
        <w:autoSpaceDN w:val="0"/>
        <w:adjustRightInd w:val="0"/>
        <w:spacing w:after="0" w:line="240" w:lineRule="auto"/>
        <w:jc w:val="both"/>
        <w:rPr>
          <w:rFonts w:ascii="Arial" w:hAnsi="Arial" w:cs="Arial"/>
          <w:sz w:val="18"/>
          <w:szCs w:val="18"/>
        </w:rPr>
      </w:pPr>
      <w:r w:rsidRPr="00D46512">
        <w:rPr>
          <w:rFonts w:ascii="Arial" w:hAnsi="Arial" w:cs="Arial"/>
          <w:sz w:val="20"/>
          <w:szCs w:val="20"/>
        </w:rPr>
        <w:fldChar w:fldCharType="begin" w:fldLock="1"/>
      </w:r>
      <w:r w:rsidRPr="00D46512">
        <w:rPr>
          <w:rFonts w:ascii="Arial" w:hAnsi="Arial" w:cs="Arial"/>
          <w:sz w:val="20"/>
          <w:szCs w:val="20"/>
        </w:rPr>
        <w:instrText xml:space="preserve">ADDIN Mendeley Bibliography CSL_BIBLIOGRAPHY </w:instrText>
      </w:r>
      <w:r w:rsidRPr="00D46512">
        <w:rPr>
          <w:rFonts w:ascii="Arial" w:hAnsi="Arial" w:cs="Arial"/>
          <w:sz w:val="20"/>
          <w:szCs w:val="20"/>
        </w:rPr>
        <w:fldChar w:fldCharType="separate"/>
      </w:r>
      <w:r w:rsidRPr="00D46512">
        <w:rPr>
          <w:rFonts w:ascii="Arial" w:hAnsi="Arial" w:cs="Arial"/>
          <w:sz w:val="18"/>
          <w:szCs w:val="18"/>
        </w:rPr>
        <w:t xml:space="preserve">Norcini J, Talati J. Assessment, surgeon, and society. Int J Surg. 2009;7(4):313–7. </w:t>
      </w:r>
    </w:p>
    <w:p w14:paraId="578269BE" w14:textId="77777777" w:rsidR="00946835" w:rsidRPr="00D46512" w:rsidRDefault="00946835" w:rsidP="00D46512">
      <w:pPr>
        <w:pStyle w:val="DaftarParagraf"/>
        <w:widowControl w:val="0"/>
        <w:numPr>
          <w:ilvl w:val="0"/>
          <w:numId w:val="2"/>
        </w:numPr>
        <w:autoSpaceDE w:val="0"/>
        <w:autoSpaceDN w:val="0"/>
        <w:adjustRightInd w:val="0"/>
        <w:spacing w:after="0" w:line="240" w:lineRule="auto"/>
        <w:jc w:val="both"/>
        <w:rPr>
          <w:rFonts w:ascii="Arial" w:hAnsi="Arial" w:cs="Arial"/>
          <w:sz w:val="18"/>
          <w:szCs w:val="18"/>
        </w:rPr>
      </w:pPr>
      <w:r w:rsidRPr="00D46512">
        <w:rPr>
          <w:rFonts w:ascii="Arial" w:hAnsi="Arial" w:cs="Arial"/>
          <w:sz w:val="18"/>
          <w:szCs w:val="18"/>
        </w:rPr>
        <w:t xml:space="preserve">Lisiswanti R. Dasar-dasar Pemilihan Assessment di Pendidikan Kedokteran. J Kedokt. 2012;2(2). </w:t>
      </w:r>
    </w:p>
    <w:p w14:paraId="411F82BA" w14:textId="77777777" w:rsidR="00946835" w:rsidRPr="00D46512" w:rsidRDefault="00946835" w:rsidP="00D46512">
      <w:pPr>
        <w:pStyle w:val="DaftarParagraf"/>
        <w:widowControl w:val="0"/>
        <w:numPr>
          <w:ilvl w:val="0"/>
          <w:numId w:val="2"/>
        </w:numPr>
        <w:autoSpaceDE w:val="0"/>
        <w:autoSpaceDN w:val="0"/>
        <w:adjustRightInd w:val="0"/>
        <w:spacing w:after="0" w:line="240" w:lineRule="auto"/>
        <w:jc w:val="both"/>
        <w:rPr>
          <w:rFonts w:ascii="Arial" w:hAnsi="Arial" w:cs="Arial"/>
          <w:sz w:val="18"/>
          <w:szCs w:val="18"/>
        </w:rPr>
      </w:pPr>
      <w:r w:rsidRPr="00D46512">
        <w:rPr>
          <w:rFonts w:ascii="Arial" w:hAnsi="Arial" w:cs="Arial"/>
          <w:sz w:val="18"/>
          <w:szCs w:val="18"/>
        </w:rPr>
        <w:t xml:space="preserve">K GR, Suhoyo Y, Hadianto T. Persepsi Mahasiswa terhadap Pelaksanaan Mini Clinical Examination Excercise (Mini-CEX) pada Program Pendidikan Kepaniteraan Klinik. J Pendidik Kedokt Indones. 2012;1(2):68–74. </w:t>
      </w:r>
    </w:p>
    <w:p w14:paraId="70E6F834" w14:textId="77777777" w:rsidR="00946835" w:rsidRPr="00D46512" w:rsidRDefault="00946835" w:rsidP="00D46512">
      <w:pPr>
        <w:pStyle w:val="DaftarParagraf"/>
        <w:widowControl w:val="0"/>
        <w:numPr>
          <w:ilvl w:val="0"/>
          <w:numId w:val="2"/>
        </w:numPr>
        <w:autoSpaceDE w:val="0"/>
        <w:autoSpaceDN w:val="0"/>
        <w:adjustRightInd w:val="0"/>
        <w:spacing w:after="0" w:line="240" w:lineRule="auto"/>
        <w:jc w:val="both"/>
        <w:rPr>
          <w:rFonts w:ascii="Arial" w:hAnsi="Arial" w:cs="Arial"/>
          <w:sz w:val="18"/>
          <w:szCs w:val="18"/>
        </w:rPr>
      </w:pPr>
      <w:r w:rsidRPr="00D46512">
        <w:rPr>
          <w:rFonts w:ascii="Arial" w:hAnsi="Arial" w:cs="Arial"/>
          <w:sz w:val="18"/>
          <w:szCs w:val="18"/>
        </w:rPr>
        <w:t xml:space="preserve">Sari DP, Susani YP. Revisi dan Implementasi Panduan Rotasi Klinik (Logbook)-Studi Kasus dalam Pendidikan Klinik di FK Universitas Mataram. J Kedokt. 2019;8(3):18–23. </w:t>
      </w:r>
    </w:p>
    <w:p w14:paraId="67CCCC8A" w14:textId="77777777" w:rsidR="00946835" w:rsidRPr="00D46512" w:rsidRDefault="00946835" w:rsidP="00D46512">
      <w:pPr>
        <w:pStyle w:val="DaftarParagraf"/>
        <w:widowControl w:val="0"/>
        <w:numPr>
          <w:ilvl w:val="0"/>
          <w:numId w:val="2"/>
        </w:numPr>
        <w:autoSpaceDE w:val="0"/>
        <w:autoSpaceDN w:val="0"/>
        <w:adjustRightInd w:val="0"/>
        <w:spacing w:after="0" w:line="240" w:lineRule="auto"/>
        <w:jc w:val="both"/>
        <w:rPr>
          <w:rFonts w:ascii="Arial" w:hAnsi="Arial" w:cs="Arial"/>
          <w:sz w:val="18"/>
          <w:szCs w:val="18"/>
        </w:rPr>
      </w:pPr>
      <w:r w:rsidRPr="00D46512">
        <w:rPr>
          <w:rFonts w:ascii="Arial" w:hAnsi="Arial" w:cs="Arial"/>
          <w:sz w:val="18"/>
          <w:szCs w:val="18"/>
        </w:rPr>
        <w:t xml:space="preserve">Yew EHJ, Goh K. Problem-Based Learning: An Overview of its Process and Impact on Learning. Heal Prof Educ. 2016;2(2):75–9. </w:t>
      </w:r>
    </w:p>
    <w:p w14:paraId="36CFA878" w14:textId="77777777" w:rsidR="00946835" w:rsidRPr="00D46512" w:rsidRDefault="00946835" w:rsidP="00D46512">
      <w:pPr>
        <w:pStyle w:val="DaftarParagraf"/>
        <w:widowControl w:val="0"/>
        <w:numPr>
          <w:ilvl w:val="0"/>
          <w:numId w:val="2"/>
        </w:numPr>
        <w:autoSpaceDE w:val="0"/>
        <w:autoSpaceDN w:val="0"/>
        <w:adjustRightInd w:val="0"/>
        <w:spacing w:after="0" w:line="240" w:lineRule="auto"/>
        <w:jc w:val="both"/>
        <w:rPr>
          <w:rFonts w:ascii="Arial" w:hAnsi="Arial" w:cs="Arial"/>
          <w:sz w:val="18"/>
          <w:szCs w:val="18"/>
        </w:rPr>
      </w:pPr>
      <w:r w:rsidRPr="00D46512">
        <w:rPr>
          <w:rFonts w:ascii="Arial" w:hAnsi="Arial" w:cs="Arial"/>
          <w:sz w:val="18"/>
          <w:szCs w:val="18"/>
        </w:rPr>
        <w:t xml:space="preserve">MS Z. Perbedaan Skor Mini-CEX Dokter Muda Stase Pertama dan Stase Terakhir pada Stase Obstetri Ginekologi Rumah Sakit Dr.Hi.Abdul Moeloek Bandar Lampung. Vol. 1, Skripsi, Fakkultas Kedokteran, Universitas Lampung. 2019. </w:t>
      </w:r>
    </w:p>
    <w:p w14:paraId="577ED15E" w14:textId="77777777" w:rsidR="00974E07" w:rsidRPr="00D46512" w:rsidRDefault="00974E07" w:rsidP="00D46512">
      <w:pPr>
        <w:pStyle w:val="DaftarParagraf"/>
        <w:widowControl w:val="0"/>
        <w:numPr>
          <w:ilvl w:val="0"/>
          <w:numId w:val="2"/>
        </w:numPr>
        <w:autoSpaceDE w:val="0"/>
        <w:autoSpaceDN w:val="0"/>
        <w:adjustRightInd w:val="0"/>
        <w:spacing w:after="0" w:line="240" w:lineRule="auto"/>
        <w:jc w:val="both"/>
        <w:rPr>
          <w:rFonts w:ascii="Arial" w:hAnsi="Arial" w:cs="Arial"/>
          <w:sz w:val="18"/>
          <w:szCs w:val="18"/>
        </w:rPr>
      </w:pPr>
      <w:r w:rsidRPr="00D46512">
        <w:rPr>
          <w:rFonts w:ascii="Arial" w:hAnsi="Arial" w:cs="Arial"/>
          <w:sz w:val="18"/>
          <w:szCs w:val="18"/>
        </w:rPr>
        <w:fldChar w:fldCharType="begin" w:fldLock="1"/>
      </w:r>
      <w:r w:rsidRPr="00D46512">
        <w:rPr>
          <w:rFonts w:ascii="Arial" w:hAnsi="Arial" w:cs="Arial"/>
          <w:sz w:val="18"/>
          <w:szCs w:val="18"/>
        </w:rPr>
        <w:instrText xml:space="preserve">ADDIN Mendeley Bibliography CSL_BIBLIOGRAPHY </w:instrText>
      </w:r>
      <w:r w:rsidRPr="00D46512">
        <w:rPr>
          <w:rFonts w:ascii="Arial" w:hAnsi="Arial" w:cs="Arial"/>
          <w:sz w:val="18"/>
          <w:szCs w:val="18"/>
        </w:rPr>
        <w:fldChar w:fldCharType="separate"/>
      </w:r>
      <w:r w:rsidRPr="00D46512">
        <w:rPr>
          <w:rFonts w:ascii="Arial" w:hAnsi="Arial" w:cs="Arial"/>
          <w:sz w:val="18"/>
          <w:szCs w:val="18"/>
        </w:rPr>
        <w:t xml:space="preserve">Amelia Pangesti, A. (2012) ‘Pengaruh Konflik Peran Terhadap Terjadinya Burnout Pada Mahasiswa Koass’, </w:t>
      </w:r>
      <w:r w:rsidRPr="00D46512">
        <w:rPr>
          <w:rFonts w:ascii="Arial" w:hAnsi="Arial" w:cs="Arial"/>
          <w:i/>
          <w:iCs/>
          <w:sz w:val="18"/>
          <w:szCs w:val="18"/>
        </w:rPr>
        <w:t>JPPP - Jurnal Penelitian dan Pengukuran Psikologi</w:t>
      </w:r>
      <w:r w:rsidRPr="00D46512">
        <w:rPr>
          <w:rFonts w:ascii="Arial" w:hAnsi="Arial" w:cs="Arial"/>
          <w:sz w:val="18"/>
          <w:szCs w:val="18"/>
        </w:rPr>
        <w:t>, 1(1), pp. 1–6. doi: 10.21009/jppp.011.01.</w:t>
      </w:r>
    </w:p>
    <w:p w14:paraId="3732F1D2" w14:textId="77777777" w:rsidR="00974E07" w:rsidRPr="00D46512" w:rsidRDefault="00974E07" w:rsidP="00D46512">
      <w:pPr>
        <w:pStyle w:val="DaftarParagraf"/>
        <w:widowControl w:val="0"/>
        <w:numPr>
          <w:ilvl w:val="0"/>
          <w:numId w:val="2"/>
        </w:numPr>
        <w:autoSpaceDE w:val="0"/>
        <w:autoSpaceDN w:val="0"/>
        <w:adjustRightInd w:val="0"/>
        <w:spacing w:after="0" w:line="240" w:lineRule="auto"/>
        <w:jc w:val="both"/>
        <w:rPr>
          <w:rFonts w:ascii="Arial" w:hAnsi="Arial" w:cs="Arial"/>
          <w:sz w:val="18"/>
          <w:szCs w:val="18"/>
        </w:rPr>
      </w:pPr>
      <w:r w:rsidRPr="00D46512">
        <w:rPr>
          <w:rFonts w:ascii="Arial" w:hAnsi="Arial" w:cs="Arial"/>
          <w:sz w:val="18"/>
          <w:szCs w:val="18"/>
        </w:rPr>
        <w:t>Erickson, R. P. and Kristina, T. N. (2012) ‘Persepsi Mahasiswa Kepaniteraan Klinik Terhadap Pelatihan Keterampilan Klinik di Akhir Pendidikan Sarjana Kedokteran Pelatihan keterampilan klinik penting untuk diberikan karena bisa menjembatani jurang pemisah antara kuliah yang diberikan kepada mahasisw’, pp. 1–16.</w:t>
      </w:r>
    </w:p>
    <w:p w14:paraId="3873C3A1" w14:textId="77777777" w:rsidR="00974E07" w:rsidRPr="00D46512" w:rsidRDefault="00974E07" w:rsidP="00D46512">
      <w:pPr>
        <w:pStyle w:val="DaftarParagraf"/>
        <w:widowControl w:val="0"/>
        <w:numPr>
          <w:ilvl w:val="0"/>
          <w:numId w:val="2"/>
        </w:numPr>
        <w:autoSpaceDE w:val="0"/>
        <w:autoSpaceDN w:val="0"/>
        <w:adjustRightInd w:val="0"/>
        <w:spacing w:after="0" w:line="240" w:lineRule="auto"/>
        <w:jc w:val="both"/>
        <w:rPr>
          <w:rFonts w:ascii="Arial" w:hAnsi="Arial" w:cs="Arial"/>
          <w:sz w:val="18"/>
          <w:szCs w:val="18"/>
        </w:rPr>
      </w:pPr>
      <w:r w:rsidRPr="00D46512">
        <w:rPr>
          <w:rFonts w:ascii="Arial" w:hAnsi="Arial" w:cs="Arial"/>
          <w:sz w:val="18"/>
          <w:szCs w:val="18"/>
        </w:rPr>
        <w:t>Febrianti, W. (2017) ‘Hubungan IPK Sarjana dan Profesi dengan Nilai CBT , OSCE , dan Hasil UKMPPD Di Fakultas Kedokteran Universitas Sam Ratulangi Periode Mei dan Februari 2017’, 5.</w:t>
      </w:r>
    </w:p>
    <w:p w14:paraId="4C24D61F" w14:textId="77777777" w:rsidR="00974E07" w:rsidRPr="00D46512" w:rsidRDefault="00974E07" w:rsidP="00D46512">
      <w:pPr>
        <w:pStyle w:val="DaftarParagraf"/>
        <w:widowControl w:val="0"/>
        <w:numPr>
          <w:ilvl w:val="0"/>
          <w:numId w:val="2"/>
        </w:numPr>
        <w:autoSpaceDE w:val="0"/>
        <w:autoSpaceDN w:val="0"/>
        <w:adjustRightInd w:val="0"/>
        <w:spacing w:after="0" w:line="240" w:lineRule="auto"/>
        <w:jc w:val="both"/>
        <w:rPr>
          <w:rFonts w:ascii="Arial" w:hAnsi="Arial" w:cs="Arial"/>
          <w:sz w:val="18"/>
          <w:szCs w:val="18"/>
        </w:rPr>
      </w:pPr>
      <w:r w:rsidRPr="00D46512">
        <w:rPr>
          <w:rFonts w:ascii="Arial" w:hAnsi="Arial" w:cs="Arial"/>
          <w:sz w:val="18"/>
          <w:szCs w:val="18"/>
        </w:rPr>
        <w:t xml:space="preserve">Konsil Kedokteran Indonesia (2012) </w:t>
      </w:r>
      <w:r w:rsidRPr="00D46512">
        <w:rPr>
          <w:rFonts w:ascii="Arial" w:hAnsi="Arial" w:cs="Arial"/>
          <w:i/>
          <w:iCs/>
          <w:sz w:val="18"/>
          <w:szCs w:val="18"/>
        </w:rPr>
        <w:t>Standar pendidikan profesi dokter</w:t>
      </w:r>
      <w:r w:rsidRPr="00D46512">
        <w:rPr>
          <w:rFonts w:ascii="Arial" w:hAnsi="Arial" w:cs="Arial"/>
          <w:sz w:val="18"/>
          <w:szCs w:val="18"/>
        </w:rPr>
        <w:t>.</w:t>
      </w:r>
    </w:p>
    <w:p w14:paraId="3C374CE9" w14:textId="77777777" w:rsidR="00974E07" w:rsidRPr="00D46512" w:rsidRDefault="00974E07" w:rsidP="00D46512">
      <w:pPr>
        <w:pStyle w:val="DaftarParagraf"/>
        <w:widowControl w:val="0"/>
        <w:numPr>
          <w:ilvl w:val="0"/>
          <w:numId w:val="2"/>
        </w:numPr>
        <w:autoSpaceDE w:val="0"/>
        <w:autoSpaceDN w:val="0"/>
        <w:adjustRightInd w:val="0"/>
        <w:spacing w:after="0" w:line="240" w:lineRule="auto"/>
        <w:jc w:val="both"/>
        <w:rPr>
          <w:rFonts w:ascii="Arial" w:hAnsi="Arial" w:cs="Arial"/>
          <w:sz w:val="18"/>
          <w:szCs w:val="18"/>
        </w:rPr>
      </w:pPr>
      <w:r w:rsidRPr="00D46512">
        <w:rPr>
          <w:rFonts w:ascii="Arial" w:hAnsi="Arial" w:cs="Arial"/>
          <w:sz w:val="18"/>
          <w:szCs w:val="18"/>
        </w:rPr>
        <w:t xml:space="preserve">Nikmatur, R. (2014) ‘Metode Belajar dalam Model Pembelajaran Klinik Keperawatan Terpadu’, </w:t>
      </w:r>
      <w:r w:rsidRPr="00D46512">
        <w:rPr>
          <w:rFonts w:ascii="Arial" w:hAnsi="Arial" w:cs="Arial"/>
          <w:i/>
          <w:iCs/>
          <w:sz w:val="18"/>
          <w:szCs w:val="18"/>
        </w:rPr>
        <w:t>The Indonesian Journal og Health Science</w:t>
      </w:r>
      <w:r w:rsidRPr="00D46512">
        <w:rPr>
          <w:rFonts w:ascii="Arial" w:hAnsi="Arial" w:cs="Arial"/>
          <w:sz w:val="18"/>
          <w:szCs w:val="18"/>
        </w:rPr>
        <w:t>, 4(2), pp. 165–175.</w:t>
      </w:r>
    </w:p>
    <w:p w14:paraId="308E64D5" w14:textId="77777777" w:rsidR="00974E07" w:rsidRPr="00D46512" w:rsidRDefault="00974E07" w:rsidP="00D46512">
      <w:pPr>
        <w:pStyle w:val="DaftarParagraf"/>
        <w:widowControl w:val="0"/>
        <w:numPr>
          <w:ilvl w:val="0"/>
          <w:numId w:val="2"/>
        </w:numPr>
        <w:autoSpaceDE w:val="0"/>
        <w:autoSpaceDN w:val="0"/>
        <w:adjustRightInd w:val="0"/>
        <w:spacing w:after="0" w:line="240" w:lineRule="auto"/>
        <w:jc w:val="both"/>
        <w:rPr>
          <w:rFonts w:ascii="Arial" w:hAnsi="Arial" w:cs="Arial"/>
          <w:sz w:val="18"/>
          <w:szCs w:val="18"/>
        </w:rPr>
      </w:pPr>
      <w:r w:rsidRPr="00D46512">
        <w:rPr>
          <w:rFonts w:ascii="Arial" w:hAnsi="Arial" w:cs="Arial"/>
          <w:sz w:val="18"/>
          <w:szCs w:val="18"/>
        </w:rPr>
        <w:t xml:space="preserve">Sari, N. M. </w:t>
      </w:r>
      <w:r w:rsidRPr="00D46512">
        <w:rPr>
          <w:rFonts w:ascii="Arial" w:hAnsi="Arial" w:cs="Arial"/>
          <w:i/>
          <w:iCs/>
          <w:sz w:val="18"/>
          <w:szCs w:val="18"/>
        </w:rPr>
        <w:t>et al.</w:t>
      </w:r>
      <w:r w:rsidRPr="00D46512">
        <w:rPr>
          <w:rFonts w:ascii="Arial" w:hAnsi="Arial" w:cs="Arial"/>
          <w:sz w:val="18"/>
          <w:szCs w:val="18"/>
        </w:rPr>
        <w:t xml:space="preserve"> (2016) ‘Korelasi Tingkat Kepuasan Mahasiswa Program Studi Profesi Dokter ( PSPD ) dan Nilai Ujian Kompetensi Mahasiswa Program Profesi Dokter ( UKMPPD ) The Correlation between Student Satisfaction and National Medical Competence Examination ( UKMPPD ) Score’, 1(38).</w:t>
      </w:r>
    </w:p>
    <w:p w14:paraId="61BEFF37" w14:textId="77777777" w:rsidR="00974E07" w:rsidRPr="00D46512" w:rsidRDefault="00974E07" w:rsidP="00D46512">
      <w:pPr>
        <w:pStyle w:val="DaftarParagraf"/>
        <w:widowControl w:val="0"/>
        <w:numPr>
          <w:ilvl w:val="0"/>
          <w:numId w:val="2"/>
        </w:numPr>
        <w:autoSpaceDE w:val="0"/>
        <w:autoSpaceDN w:val="0"/>
        <w:adjustRightInd w:val="0"/>
        <w:spacing w:after="0" w:line="240" w:lineRule="auto"/>
        <w:jc w:val="both"/>
        <w:rPr>
          <w:rFonts w:ascii="Arial" w:hAnsi="Arial" w:cs="Arial"/>
          <w:sz w:val="18"/>
          <w:szCs w:val="18"/>
        </w:rPr>
      </w:pPr>
      <w:r w:rsidRPr="00D46512">
        <w:rPr>
          <w:rFonts w:ascii="Arial" w:hAnsi="Arial" w:cs="Arial"/>
          <w:sz w:val="18"/>
          <w:szCs w:val="18"/>
        </w:rPr>
        <w:t xml:space="preserve">Suswati, I. and Rahayu (2017) ‘Validitas Prediktif Uji Kompetensi Mahasiswa Program Profesi Dokter (UKMPPD) Pada Tahap Profesi’, </w:t>
      </w:r>
      <w:r w:rsidRPr="00D46512">
        <w:rPr>
          <w:rFonts w:ascii="Arial" w:hAnsi="Arial" w:cs="Arial"/>
          <w:i/>
          <w:iCs/>
          <w:sz w:val="18"/>
          <w:szCs w:val="18"/>
        </w:rPr>
        <w:t>Saintika Medika</w:t>
      </w:r>
      <w:r w:rsidRPr="00D46512">
        <w:rPr>
          <w:rFonts w:ascii="Arial" w:hAnsi="Arial" w:cs="Arial"/>
          <w:sz w:val="18"/>
          <w:szCs w:val="18"/>
        </w:rPr>
        <w:t>, 13(2), pp. 118–124. doi: 10.22219/sm.v13i2.5553.</w:t>
      </w:r>
    </w:p>
    <w:p w14:paraId="7751D7E3" w14:textId="77777777" w:rsidR="00974E07" w:rsidRPr="00D46512" w:rsidRDefault="00974E07" w:rsidP="00D46512">
      <w:pPr>
        <w:widowControl w:val="0"/>
        <w:autoSpaceDE w:val="0"/>
        <w:autoSpaceDN w:val="0"/>
        <w:adjustRightInd w:val="0"/>
        <w:spacing w:after="0" w:line="240" w:lineRule="auto"/>
        <w:ind w:left="640" w:hanging="640"/>
        <w:jc w:val="both"/>
        <w:rPr>
          <w:rFonts w:ascii="Arial" w:hAnsi="Arial" w:cs="Arial"/>
          <w:sz w:val="20"/>
          <w:szCs w:val="20"/>
        </w:rPr>
      </w:pPr>
      <w:r w:rsidRPr="00D46512">
        <w:rPr>
          <w:rFonts w:ascii="Arial" w:hAnsi="Arial" w:cs="Arial"/>
          <w:sz w:val="18"/>
          <w:szCs w:val="18"/>
        </w:rPr>
        <w:fldChar w:fldCharType="end"/>
      </w:r>
    </w:p>
    <w:p w14:paraId="16DCB94F" w14:textId="77777777" w:rsidR="00D46512" w:rsidRDefault="00946835" w:rsidP="00974E07">
      <w:pPr>
        <w:tabs>
          <w:tab w:val="left" w:pos="851"/>
        </w:tabs>
        <w:spacing w:after="0" w:line="360" w:lineRule="auto"/>
        <w:ind w:left="340"/>
        <w:jc w:val="both"/>
        <w:rPr>
          <w:rFonts w:ascii="Arial" w:hAnsi="Arial" w:cs="Arial"/>
          <w:sz w:val="20"/>
          <w:szCs w:val="20"/>
        </w:rPr>
        <w:sectPr w:rsidR="00D46512" w:rsidSect="00D46512">
          <w:type w:val="continuous"/>
          <w:pgSz w:w="11907" w:h="16840" w:code="9"/>
          <w:pgMar w:top="1440" w:right="1440" w:bottom="1440" w:left="1440" w:header="709" w:footer="709" w:gutter="0"/>
          <w:cols w:space="708"/>
          <w:docGrid w:linePitch="360"/>
        </w:sectPr>
      </w:pPr>
      <w:r w:rsidRPr="00D46512">
        <w:rPr>
          <w:rFonts w:ascii="Arial" w:hAnsi="Arial" w:cs="Arial"/>
          <w:sz w:val="20"/>
          <w:szCs w:val="20"/>
        </w:rPr>
        <w:fldChar w:fldCharType="end"/>
      </w:r>
    </w:p>
    <w:p w14:paraId="19D429C9" w14:textId="6B2F765D" w:rsidR="00343878" w:rsidRPr="00D46512" w:rsidRDefault="00343878" w:rsidP="00974E07">
      <w:pPr>
        <w:tabs>
          <w:tab w:val="left" w:pos="851"/>
        </w:tabs>
        <w:spacing w:after="0" w:line="360" w:lineRule="auto"/>
        <w:ind w:left="340"/>
        <w:jc w:val="both"/>
        <w:rPr>
          <w:rFonts w:ascii="Arial" w:hAnsi="Arial" w:cs="Arial"/>
          <w:sz w:val="20"/>
          <w:szCs w:val="20"/>
          <w:lang w:val="en-ID"/>
        </w:rPr>
      </w:pPr>
    </w:p>
    <w:p w14:paraId="7B53C37B" w14:textId="77777777" w:rsidR="00381D52" w:rsidRPr="00D46512" w:rsidRDefault="00381D52" w:rsidP="00946835">
      <w:pPr>
        <w:tabs>
          <w:tab w:val="left" w:pos="851"/>
        </w:tabs>
        <w:spacing w:line="360" w:lineRule="auto"/>
        <w:jc w:val="both"/>
        <w:rPr>
          <w:rFonts w:ascii="Arial" w:hAnsi="Arial" w:cs="Arial"/>
          <w:sz w:val="20"/>
          <w:szCs w:val="20"/>
        </w:rPr>
      </w:pPr>
    </w:p>
    <w:p w14:paraId="577F401E" w14:textId="77777777" w:rsidR="004E52C5" w:rsidRPr="00D46512" w:rsidRDefault="004E52C5" w:rsidP="00946835">
      <w:pPr>
        <w:tabs>
          <w:tab w:val="left" w:pos="851"/>
        </w:tabs>
        <w:spacing w:line="360" w:lineRule="auto"/>
        <w:jc w:val="both"/>
        <w:rPr>
          <w:rFonts w:ascii="Arial" w:hAnsi="Arial" w:cs="Arial"/>
          <w:sz w:val="20"/>
          <w:szCs w:val="20"/>
        </w:rPr>
      </w:pPr>
    </w:p>
    <w:sectPr w:rsidR="004E52C5" w:rsidRPr="00D46512" w:rsidSect="009C6B07">
      <w:type w:val="continuous"/>
      <w:pgSz w:w="11907" w:h="16840"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55D05" w14:textId="77777777" w:rsidR="0081293E" w:rsidRDefault="0081293E" w:rsidP="007E1E6A">
      <w:pPr>
        <w:spacing w:after="0" w:line="240" w:lineRule="auto"/>
      </w:pPr>
      <w:r>
        <w:separator/>
      </w:r>
    </w:p>
  </w:endnote>
  <w:endnote w:type="continuationSeparator" w:id="0">
    <w:p w14:paraId="42DF45E6" w14:textId="77777777" w:rsidR="0081293E" w:rsidRDefault="0081293E" w:rsidP="007E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omorHalaman"/>
      </w:rPr>
      <w:id w:val="565613761"/>
      <w:docPartObj>
        <w:docPartGallery w:val="Page Numbers (Bottom of Page)"/>
        <w:docPartUnique/>
      </w:docPartObj>
    </w:sdtPr>
    <w:sdtContent>
      <w:p w14:paraId="56E9EFC3" w14:textId="0031C83C" w:rsidR="007E1E6A" w:rsidRDefault="007E1E6A" w:rsidP="00DE1643">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14:paraId="649F8624" w14:textId="77777777" w:rsidR="007E1E6A" w:rsidRDefault="007E1E6A" w:rsidP="007E1E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omorHalaman"/>
      </w:rPr>
      <w:id w:val="1517357468"/>
      <w:docPartObj>
        <w:docPartGallery w:val="Page Numbers (Bottom of Page)"/>
        <w:docPartUnique/>
      </w:docPartObj>
    </w:sdtPr>
    <w:sdtContent>
      <w:p w14:paraId="014F5545" w14:textId="2CC08CF6" w:rsidR="007E1E6A" w:rsidRDefault="007E1E6A" w:rsidP="00DE1643">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rPr>
          <w:t>142</w:t>
        </w:r>
        <w:r>
          <w:rPr>
            <w:rStyle w:val="NomorHalaman"/>
          </w:rPr>
          <w:fldChar w:fldCharType="end"/>
        </w:r>
      </w:p>
    </w:sdtContent>
  </w:sdt>
  <w:p w14:paraId="5A7CD049" w14:textId="77777777" w:rsidR="007E1E6A" w:rsidRDefault="007E1E6A" w:rsidP="007E1E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954AE" w14:textId="77777777" w:rsidR="0081293E" w:rsidRDefault="0081293E" w:rsidP="007E1E6A">
      <w:pPr>
        <w:spacing w:after="0" w:line="240" w:lineRule="auto"/>
      </w:pPr>
      <w:r>
        <w:separator/>
      </w:r>
    </w:p>
  </w:footnote>
  <w:footnote w:type="continuationSeparator" w:id="0">
    <w:p w14:paraId="2053D183" w14:textId="77777777" w:rsidR="0081293E" w:rsidRDefault="0081293E" w:rsidP="007E1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AB838" w14:textId="7205F736" w:rsidR="007E1E6A" w:rsidRPr="006A22F9" w:rsidRDefault="007E1E6A" w:rsidP="007E1E6A">
    <w:pPr>
      <w:pStyle w:val="Header"/>
      <w:rPr>
        <w:sz w:val="20"/>
        <w:szCs w:val="20"/>
      </w:rPr>
    </w:pPr>
    <w:r w:rsidRPr="00C9592A">
      <w:rPr>
        <w:i/>
        <w:sz w:val="20"/>
        <w:szCs w:val="20"/>
      </w:rPr>
      <w:t xml:space="preserve">JMJ, Volume </w:t>
    </w:r>
    <w:r>
      <w:rPr>
        <w:i/>
        <w:sz w:val="20"/>
        <w:szCs w:val="20"/>
      </w:rPr>
      <w:t>8</w:t>
    </w:r>
    <w:r w:rsidRPr="00C9592A">
      <w:rPr>
        <w:i/>
        <w:sz w:val="20"/>
        <w:szCs w:val="20"/>
      </w:rPr>
      <w:t xml:space="preserve">, Nomor </w:t>
    </w:r>
    <w:r>
      <w:rPr>
        <w:i/>
        <w:sz w:val="20"/>
        <w:szCs w:val="20"/>
      </w:rPr>
      <w:t>2</w:t>
    </w:r>
    <w:r w:rsidRPr="00C9592A">
      <w:rPr>
        <w:i/>
        <w:sz w:val="20"/>
        <w:szCs w:val="20"/>
      </w:rPr>
      <w:t xml:space="preserve">, </w:t>
    </w:r>
    <w:r>
      <w:rPr>
        <w:i/>
        <w:sz w:val="20"/>
        <w:szCs w:val="20"/>
      </w:rPr>
      <w:t>November  2020</w:t>
    </w:r>
    <w:r w:rsidRPr="00C9592A">
      <w:rPr>
        <w:i/>
        <w:sz w:val="20"/>
        <w:szCs w:val="20"/>
      </w:rPr>
      <w:t>, Hal:</w:t>
    </w:r>
    <w:r w:rsidRPr="00C9592A">
      <w:rPr>
        <w:sz w:val="20"/>
        <w:szCs w:val="20"/>
      </w:rPr>
      <w:t xml:space="preserve"> </w:t>
    </w:r>
    <w:r>
      <w:rPr>
        <w:sz w:val="20"/>
        <w:szCs w:val="20"/>
        <w:lang w:val="en-US"/>
      </w:rPr>
      <w:t>1</w:t>
    </w:r>
    <w:r>
      <w:rPr>
        <w:sz w:val="20"/>
      </w:rPr>
      <w:t>41</w:t>
    </w:r>
    <w:r>
      <w:rPr>
        <w:sz w:val="20"/>
        <w:szCs w:val="20"/>
        <w:lang w:val="en-US"/>
      </w:rPr>
      <w:t>-1</w:t>
    </w:r>
    <w:r>
      <w:rPr>
        <w:sz w:val="20"/>
        <w:lang w:val="en-US"/>
      </w:rPr>
      <w:t>4</w:t>
    </w:r>
    <w:r>
      <w:rPr>
        <w:sz w:val="20"/>
      </w:rPr>
      <w:t>6</w:t>
    </w:r>
    <w:r>
      <w:rPr>
        <w:sz w:val="20"/>
      </w:rPr>
      <w:tab/>
    </w:r>
    <w:r>
      <w:rPr>
        <w:i/>
        <w:sz w:val="20"/>
      </w:rPr>
      <w:t>Fuad Khadafianto</w:t>
    </w:r>
    <w:r>
      <w:rPr>
        <w:i/>
        <w:sz w:val="20"/>
        <w:szCs w:val="20"/>
      </w:rPr>
      <w:t>,</w:t>
    </w:r>
    <w:r>
      <w:rPr>
        <w:i/>
        <w:sz w:val="20"/>
        <w:szCs w:val="20"/>
      </w:rPr>
      <w:t xml:space="preserve"> </w:t>
    </w:r>
    <w:r>
      <w:rPr>
        <w:i/>
        <w:sz w:val="20"/>
        <w:lang w:val="en-US"/>
      </w:rPr>
      <w:t>Korelasi nilai</w:t>
    </w:r>
    <w:r>
      <w:rPr>
        <w:i/>
        <w:sz w:val="20"/>
        <w:szCs w:val="20"/>
      </w:rPr>
      <w:t xml:space="preserve"> </w:t>
    </w:r>
    <w:r w:rsidRPr="00C9592A">
      <w:rPr>
        <w:i/>
        <w:sz w:val="20"/>
        <w:szCs w:val="20"/>
      </w:rPr>
      <w:t>…..</w:t>
    </w:r>
  </w:p>
  <w:p w14:paraId="0C8A1AFB" w14:textId="77777777" w:rsidR="007E1E6A" w:rsidRDefault="007E1E6A" w:rsidP="007E1E6A">
    <w:pPr>
      <w:pStyle w:val="Header"/>
    </w:pPr>
  </w:p>
  <w:p w14:paraId="1803A0F0" w14:textId="77777777" w:rsidR="007E1E6A" w:rsidRDefault="007E1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0273E3"/>
    <w:multiLevelType w:val="hybridMultilevel"/>
    <w:tmpl w:val="47BA0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056F0B"/>
    <w:multiLevelType w:val="hybridMultilevel"/>
    <w:tmpl w:val="85B60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D52"/>
    <w:rsid w:val="000062C5"/>
    <w:rsid w:val="00060723"/>
    <w:rsid w:val="00121F36"/>
    <w:rsid w:val="00122380"/>
    <w:rsid w:val="00252380"/>
    <w:rsid w:val="00343878"/>
    <w:rsid w:val="00381D52"/>
    <w:rsid w:val="003B018B"/>
    <w:rsid w:val="004459A9"/>
    <w:rsid w:val="004E52C5"/>
    <w:rsid w:val="00517D50"/>
    <w:rsid w:val="006C4B50"/>
    <w:rsid w:val="006F3D9F"/>
    <w:rsid w:val="00785FE1"/>
    <w:rsid w:val="007E1E6A"/>
    <w:rsid w:val="00804FF5"/>
    <w:rsid w:val="0081293E"/>
    <w:rsid w:val="00881757"/>
    <w:rsid w:val="00946835"/>
    <w:rsid w:val="00974E07"/>
    <w:rsid w:val="00977DF8"/>
    <w:rsid w:val="009B7C34"/>
    <w:rsid w:val="009C6B07"/>
    <w:rsid w:val="00A057AB"/>
    <w:rsid w:val="00BF6CC6"/>
    <w:rsid w:val="00C70A9A"/>
    <w:rsid w:val="00C8704C"/>
    <w:rsid w:val="00C9185F"/>
    <w:rsid w:val="00CB15D8"/>
    <w:rsid w:val="00D46512"/>
    <w:rsid w:val="00D91BFB"/>
    <w:rsid w:val="00EB7446"/>
    <w:rsid w:val="00ED2481"/>
    <w:rsid w:val="00FC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FE943"/>
  <w15:chartTrackingRefBased/>
  <w15:docId w15:val="{EFB26E26-648D-4B01-8E07-85F64C79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D52"/>
    <w:rPr>
      <w:noProof/>
      <w:lang w:val="en-GB"/>
    </w:rPr>
  </w:style>
  <w:style w:type="paragraph" w:styleId="Judul1">
    <w:name w:val="heading 1"/>
    <w:basedOn w:val="Normal"/>
    <w:next w:val="Normal"/>
    <w:link w:val="Judul1KAR"/>
    <w:autoRedefine/>
    <w:uiPriority w:val="9"/>
    <w:qFormat/>
    <w:rsid w:val="00C9185F"/>
    <w:pPr>
      <w:keepNext/>
      <w:keepLines/>
      <w:spacing w:before="240" w:after="0"/>
      <w:outlineLvl w:val="0"/>
    </w:pPr>
    <w:rPr>
      <w:rFonts w:ascii="Times New Roman" w:eastAsiaTheme="majorEastAsia" w:hAnsi="Times New Roman" w:cstheme="majorBidi"/>
      <w:b/>
      <w:sz w:val="24"/>
      <w:szCs w:val="32"/>
    </w:rPr>
  </w:style>
  <w:style w:type="paragraph" w:styleId="Judul2">
    <w:name w:val="heading 2"/>
    <w:basedOn w:val="Normal"/>
    <w:next w:val="Normal"/>
    <w:link w:val="Judul2KAR"/>
    <w:autoRedefine/>
    <w:uiPriority w:val="9"/>
    <w:unhideWhenUsed/>
    <w:qFormat/>
    <w:rsid w:val="00C9185F"/>
    <w:pPr>
      <w:keepNext/>
      <w:keepLines/>
      <w:spacing w:before="40" w:after="0"/>
      <w:outlineLvl w:val="1"/>
    </w:pPr>
    <w:rPr>
      <w:rFonts w:ascii="Times New Roman" w:eastAsiaTheme="majorEastAsia" w:hAnsi="Times New Roman" w:cstheme="majorBidi"/>
      <w:sz w:val="24"/>
      <w:szCs w:val="26"/>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9185F"/>
    <w:rPr>
      <w:rFonts w:ascii="Times New Roman" w:eastAsiaTheme="majorEastAsia" w:hAnsi="Times New Roman" w:cstheme="majorBidi"/>
      <w:b/>
      <w:noProof/>
      <w:sz w:val="24"/>
      <w:szCs w:val="32"/>
      <w:lang w:val="en-GB"/>
    </w:rPr>
  </w:style>
  <w:style w:type="character" w:customStyle="1" w:styleId="Judul2KAR">
    <w:name w:val="Judul 2 KAR"/>
    <w:basedOn w:val="FontParagrafDefault"/>
    <w:link w:val="Judul2"/>
    <w:uiPriority w:val="9"/>
    <w:rsid w:val="00C9185F"/>
    <w:rPr>
      <w:rFonts w:ascii="Times New Roman" w:eastAsiaTheme="majorEastAsia" w:hAnsi="Times New Roman" w:cstheme="majorBidi"/>
      <w:noProof/>
      <w:sz w:val="24"/>
      <w:szCs w:val="26"/>
      <w:lang w:val="en-GB"/>
    </w:rPr>
  </w:style>
  <w:style w:type="table" w:styleId="KisiTabel">
    <w:name w:val="Table Grid"/>
    <w:basedOn w:val="TabelNormal"/>
    <w:uiPriority w:val="59"/>
    <w:rsid w:val="00343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Biasa2">
    <w:name w:val="Plain Table 2"/>
    <w:basedOn w:val="TabelNormal"/>
    <w:uiPriority w:val="42"/>
    <w:rsid w:val="00BF6C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aftarParagraf">
    <w:name w:val="List Paragraph"/>
    <w:basedOn w:val="Normal"/>
    <w:uiPriority w:val="34"/>
    <w:qFormat/>
    <w:rsid w:val="00946835"/>
    <w:pPr>
      <w:ind w:left="720"/>
      <w:contextualSpacing/>
    </w:pPr>
  </w:style>
  <w:style w:type="character" w:styleId="Hyperlink">
    <w:name w:val="Hyperlink"/>
    <w:basedOn w:val="FontParagrafDefault"/>
    <w:uiPriority w:val="99"/>
    <w:unhideWhenUsed/>
    <w:rsid w:val="007E1E6A"/>
    <w:rPr>
      <w:color w:val="0563C1" w:themeColor="hyperlink"/>
      <w:u w:val="single"/>
    </w:rPr>
  </w:style>
  <w:style w:type="character" w:styleId="SebutanYangBelumTerselesaikan">
    <w:name w:val="Unresolved Mention"/>
    <w:basedOn w:val="FontParagrafDefault"/>
    <w:uiPriority w:val="99"/>
    <w:semiHidden/>
    <w:unhideWhenUsed/>
    <w:rsid w:val="007E1E6A"/>
    <w:rPr>
      <w:color w:val="605E5C"/>
      <w:shd w:val="clear" w:color="auto" w:fill="E1DFDD"/>
    </w:rPr>
  </w:style>
  <w:style w:type="paragraph" w:styleId="Footer">
    <w:name w:val="footer"/>
    <w:basedOn w:val="Normal"/>
    <w:link w:val="FooterKAR"/>
    <w:uiPriority w:val="99"/>
    <w:unhideWhenUsed/>
    <w:rsid w:val="007E1E6A"/>
    <w:pPr>
      <w:tabs>
        <w:tab w:val="center" w:pos="4513"/>
        <w:tab w:val="right" w:pos="9026"/>
      </w:tabs>
      <w:spacing w:after="0" w:line="240" w:lineRule="auto"/>
    </w:pPr>
  </w:style>
  <w:style w:type="character" w:customStyle="1" w:styleId="FooterKAR">
    <w:name w:val="Footer KAR"/>
    <w:basedOn w:val="FontParagrafDefault"/>
    <w:link w:val="Footer"/>
    <w:uiPriority w:val="99"/>
    <w:rsid w:val="007E1E6A"/>
    <w:rPr>
      <w:noProof/>
      <w:lang w:val="en-GB"/>
    </w:rPr>
  </w:style>
  <w:style w:type="character" w:styleId="NomorHalaman">
    <w:name w:val="page number"/>
    <w:basedOn w:val="FontParagrafDefault"/>
    <w:uiPriority w:val="99"/>
    <w:semiHidden/>
    <w:unhideWhenUsed/>
    <w:rsid w:val="007E1E6A"/>
  </w:style>
  <w:style w:type="paragraph" w:styleId="Header">
    <w:name w:val="header"/>
    <w:basedOn w:val="Normal"/>
    <w:link w:val="HeaderKAR"/>
    <w:uiPriority w:val="99"/>
    <w:unhideWhenUsed/>
    <w:rsid w:val="007E1E6A"/>
    <w:pPr>
      <w:tabs>
        <w:tab w:val="center" w:pos="4513"/>
        <w:tab w:val="right" w:pos="9026"/>
      </w:tabs>
      <w:spacing w:after="0" w:line="240" w:lineRule="auto"/>
    </w:pPr>
  </w:style>
  <w:style w:type="character" w:customStyle="1" w:styleId="HeaderKAR">
    <w:name w:val="Header KAR"/>
    <w:basedOn w:val="FontParagrafDefault"/>
    <w:link w:val="Header"/>
    <w:uiPriority w:val="99"/>
    <w:rsid w:val="007E1E6A"/>
    <w:rPr>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34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ad.khadafianto@uii.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61BD5-6C50-4E26-AEA7-5DB401B3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5805</Words>
  <Characters>33091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4</cp:revision>
  <dcterms:created xsi:type="dcterms:W3CDTF">2020-11-18T01:54:00Z</dcterms:created>
  <dcterms:modified xsi:type="dcterms:W3CDTF">2020-11-18T03:04:00Z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09ac9892-7b4c-30e8-9aee-afdef1512042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http://csl.mendeley.com/styles/470090941/vancouver-superscript-joel-2</vt:lpwstr>
  </property>
  <property fmtid="{D5CDD505-2E9C-101B-9397-08002B2CF9AE}" pid="24" name="Mendeley Recent Style Name 9_1">
    <vt:lpwstr>Vancouver DNB (superscript) - Dr. Joel G. Mathew - Joel Mathew</vt:lpwstr>
  </property>
</Properties>
</file>